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sz w:val="52"/>
          <w:szCs w:val="52"/>
        </w:rPr>
      </w:pPr>
      <w:bookmarkStart w:id="0" w:name="_Toc9875570"/>
      <w:r>
        <w:rPr>
          <w:rFonts w:hint="eastAsia"/>
          <w:sz w:val="52"/>
          <w:szCs w:val="52"/>
        </w:rPr>
        <w:t>原南通精华制药原料药分厂地块土壤污染风险评估报告</w:t>
      </w:r>
    </w:p>
    <w:p>
      <w:pPr>
        <w:ind w:firstLine="0" w:firstLineChars="0"/>
        <w:jc w:val="center"/>
        <w:rPr>
          <w:rFonts w:hint="eastAsia"/>
          <w:sz w:val="52"/>
          <w:szCs w:val="52"/>
        </w:rPr>
      </w:pPr>
    </w:p>
    <w:p>
      <w:pPr>
        <w:pStyle w:val="2"/>
        <w:rPr>
          <w:rFonts w:hint="eastAsia"/>
        </w:rPr>
      </w:pPr>
      <w:bookmarkStart w:id="4" w:name="_GoBack"/>
      <w:bookmarkEnd w:id="4"/>
    </w:p>
    <w:p>
      <w:pPr>
        <w:ind w:firstLine="0" w:firstLineChars="0"/>
        <w:jc w:val="center"/>
        <w:rPr>
          <w:rFonts w:hint="eastAsia"/>
          <w:sz w:val="52"/>
          <w:szCs w:val="52"/>
        </w:rPr>
      </w:pPr>
    </w:p>
    <w:p>
      <w:pPr>
        <w:ind w:firstLine="0" w:firstLineChars="0"/>
        <w:jc w:val="center"/>
        <w:rPr>
          <w:rFonts w:hint="eastAsia"/>
          <w:sz w:val="52"/>
          <w:szCs w:val="52"/>
        </w:rPr>
      </w:pPr>
    </w:p>
    <w:tbl>
      <w:tblPr>
        <w:tblStyle w:val="7"/>
        <w:tblW w:w="9242" w:type="dxa"/>
        <w:jc w:val="center"/>
        <w:tblInd w:w="0" w:type="dxa"/>
        <w:tblLayout w:type="fixed"/>
        <w:tblCellMar>
          <w:top w:w="0" w:type="dxa"/>
          <w:left w:w="108" w:type="dxa"/>
          <w:bottom w:w="0" w:type="dxa"/>
          <w:right w:w="108" w:type="dxa"/>
        </w:tblCellMar>
      </w:tblPr>
      <w:tblGrid>
        <w:gridCol w:w="4621"/>
        <w:gridCol w:w="4621"/>
      </w:tblGrid>
      <w:tr>
        <w:tblPrEx>
          <w:tblLayout w:type="fixed"/>
          <w:tblCellMar>
            <w:top w:w="0" w:type="dxa"/>
            <w:left w:w="108" w:type="dxa"/>
            <w:bottom w:w="0" w:type="dxa"/>
            <w:right w:w="108" w:type="dxa"/>
          </w:tblCellMar>
        </w:tblPrEx>
        <w:trPr>
          <w:jc w:val="center"/>
        </w:trPr>
        <w:tc>
          <w:tcPr>
            <w:tcW w:w="4621" w:type="dxa"/>
            <w:noWrap w:val="0"/>
            <w:vAlign w:val="top"/>
          </w:tcPr>
          <w:p>
            <w:pPr>
              <w:spacing w:line="600" w:lineRule="auto"/>
              <w:ind w:firstLine="562"/>
              <w:jc w:val="distribute"/>
              <w:rPr>
                <w:b/>
                <w:bCs/>
                <w:sz w:val="28"/>
                <w:szCs w:val="28"/>
              </w:rPr>
            </w:pPr>
            <w:r>
              <w:rPr>
                <w:b/>
                <w:bCs/>
                <w:sz w:val="28"/>
                <w:szCs w:val="28"/>
              </w:rPr>
              <w:t>业主单位：</w:t>
            </w:r>
          </w:p>
        </w:tc>
        <w:tc>
          <w:tcPr>
            <w:tcW w:w="4621" w:type="dxa"/>
            <w:noWrap w:val="0"/>
            <w:vAlign w:val="top"/>
          </w:tcPr>
          <w:p>
            <w:pPr>
              <w:spacing w:line="600" w:lineRule="auto"/>
              <w:ind w:firstLine="0" w:firstLineChars="0"/>
              <w:rPr>
                <w:b/>
                <w:bCs/>
                <w:sz w:val="28"/>
                <w:szCs w:val="28"/>
              </w:rPr>
            </w:pPr>
            <w:r>
              <w:rPr>
                <w:b/>
                <w:bCs/>
                <w:sz w:val="28"/>
                <w:szCs w:val="28"/>
              </w:rPr>
              <w:t>南通产业控股集团有限公司</w:t>
            </w:r>
          </w:p>
        </w:tc>
      </w:tr>
      <w:tr>
        <w:tblPrEx>
          <w:tblLayout w:type="fixed"/>
          <w:tblCellMar>
            <w:top w:w="0" w:type="dxa"/>
            <w:left w:w="108" w:type="dxa"/>
            <w:bottom w:w="0" w:type="dxa"/>
            <w:right w:w="108" w:type="dxa"/>
          </w:tblCellMar>
        </w:tblPrEx>
        <w:trPr>
          <w:jc w:val="center"/>
        </w:trPr>
        <w:tc>
          <w:tcPr>
            <w:tcW w:w="4621" w:type="dxa"/>
            <w:noWrap w:val="0"/>
            <w:vAlign w:val="top"/>
          </w:tcPr>
          <w:p>
            <w:pPr>
              <w:spacing w:line="600" w:lineRule="auto"/>
              <w:ind w:firstLine="562"/>
              <w:jc w:val="distribute"/>
              <w:rPr>
                <w:b/>
                <w:bCs/>
                <w:sz w:val="28"/>
                <w:szCs w:val="28"/>
              </w:rPr>
            </w:pPr>
            <w:r>
              <w:rPr>
                <w:b/>
                <w:bCs/>
                <w:sz w:val="28"/>
                <w:szCs w:val="28"/>
              </w:rPr>
              <w:t>报告编制单位：</w:t>
            </w:r>
          </w:p>
        </w:tc>
        <w:tc>
          <w:tcPr>
            <w:tcW w:w="4621" w:type="dxa"/>
            <w:noWrap w:val="0"/>
            <w:vAlign w:val="top"/>
          </w:tcPr>
          <w:p>
            <w:pPr>
              <w:spacing w:line="600" w:lineRule="auto"/>
              <w:ind w:firstLine="0" w:firstLineChars="0"/>
              <w:rPr>
                <w:b/>
                <w:bCs/>
                <w:sz w:val="28"/>
                <w:szCs w:val="28"/>
              </w:rPr>
            </w:pPr>
            <w:r>
              <w:rPr>
                <w:b/>
                <w:bCs/>
                <w:sz w:val="28"/>
                <w:szCs w:val="28"/>
              </w:rPr>
              <w:t>苏交科集团股份有限公司</w:t>
            </w:r>
          </w:p>
        </w:tc>
      </w:tr>
      <w:tr>
        <w:tblPrEx>
          <w:tblLayout w:type="fixed"/>
          <w:tblCellMar>
            <w:top w:w="0" w:type="dxa"/>
            <w:left w:w="108" w:type="dxa"/>
            <w:bottom w:w="0" w:type="dxa"/>
            <w:right w:w="108" w:type="dxa"/>
          </w:tblCellMar>
        </w:tblPrEx>
        <w:trPr>
          <w:jc w:val="center"/>
        </w:trPr>
        <w:tc>
          <w:tcPr>
            <w:tcW w:w="4621" w:type="dxa"/>
            <w:noWrap w:val="0"/>
            <w:vAlign w:val="top"/>
          </w:tcPr>
          <w:p>
            <w:pPr>
              <w:spacing w:line="600" w:lineRule="auto"/>
              <w:ind w:firstLine="562"/>
              <w:jc w:val="distribute"/>
              <w:rPr>
                <w:b/>
                <w:bCs/>
                <w:sz w:val="28"/>
                <w:szCs w:val="28"/>
              </w:rPr>
            </w:pPr>
            <w:r>
              <w:rPr>
                <w:b/>
                <w:bCs/>
                <w:sz w:val="28"/>
                <w:szCs w:val="28"/>
              </w:rPr>
              <w:t>报告编制时间：</w:t>
            </w:r>
          </w:p>
        </w:tc>
        <w:tc>
          <w:tcPr>
            <w:tcW w:w="4621" w:type="dxa"/>
            <w:noWrap w:val="0"/>
            <w:vAlign w:val="top"/>
          </w:tcPr>
          <w:p>
            <w:pPr>
              <w:spacing w:line="600" w:lineRule="auto"/>
              <w:ind w:firstLine="0" w:firstLineChars="0"/>
              <w:rPr>
                <w:b/>
                <w:bCs/>
                <w:sz w:val="28"/>
                <w:szCs w:val="28"/>
              </w:rPr>
            </w:pPr>
            <w:r>
              <w:rPr>
                <w:b/>
                <w:bCs/>
                <w:sz w:val="28"/>
                <w:szCs w:val="28"/>
              </w:rPr>
              <w:t>2019年5月</w:t>
            </w:r>
            <w:r>
              <w:rPr>
                <w:rFonts w:hint="eastAsia"/>
                <w:b/>
                <w:bCs/>
                <w:sz w:val="28"/>
                <w:szCs w:val="28"/>
              </w:rPr>
              <w:t>21</w:t>
            </w:r>
            <w:r>
              <w:rPr>
                <w:b/>
                <w:bCs/>
                <w:sz w:val="28"/>
                <w:szCs w:val="28"/>
              </w:rPr>
              <w:t>日</w:t>
            </w:r>
          </w:p>
        </w:tc>
      </w:tr>
    </w:tbl>
    <w:p>
      <w:pPr>
        <w:rPr>
          <w:rFonts w:hint="eastAsia"/>
        </w:rPr>
      </w:pPr>
      <w:bookmarkStart w:id="1" w:name="_Toc9875523"/>
      <w:r>
        <w:rPr>
          <w:rFonts w:hint="eastAsia"/>
        </w:rPr>
        <w:br w:type="page"/>
      </w:r>
    </w:p>
    <w:p>
      <w:pPr>
        <w:pStyle w:val="3"/>
        <w:numPr>
          <w:ilvl w:val="0"/>
          <w:numId w:val="0"/>
        </w:numPr>
        <w:jc w:val="center"/>
        <w:rPr>
          <w:rFonts w:hint="eastAsia"/>
        </w:rPr>
      </w:pPr>
      <w:r>
        <w:rPr>
          <w:rFonts w:hint="eastAsia"/>
        </w:rPr>
        <w:t>摘要</w:t>
      </w:r>
      <w:bookmarkEnd w:id="1"/>
    </w:p>
    <w:p>
      <w:pPr>
        <w:ind w:firstLine="480"/>
        <w:rPr>
          <w:rFonts w:hint="eastAsia"/>
        </w:rPr>
      </w:pPr>
      <w:r>
        <w:rPr>
          <w:rFonts w:hint="eastAsia"/>
        </w:rPr>
        <w:t>2018年11月28日，我公司（“苏交科集团股份有限公司”）受南通产业控股集团有限公司（简称“业主”）委托，拟通过现场踏勘、样品采集分析等手段摸清地块污染物分布状况、污染程度，摸清土壤及地下水污染分布。</w:t>
      </w:r>
    </w:p>
    <w:p>
      <w:pPr>
        <w:ind w:firstLine="480"/>
        <w:rPr>
          <w:rFonts w:hint="eastAsia"/>
        </w:rPr>
      </w:pPr>
      <w:r>
        <w:rPr>
          <w:rFonts w:hint="eastAsia"/>
        </w:rPr>
        <w:t>我公司于2018年12月13日~2018年12月18日、2019年3月5日~2019年3月7日分别对制药厂开展了初步调查阶段和详细调查阶段的现场工作，并委托江苏格林勒斯检测科技有限公司（CMA：171012050433，“检测单位”）对本项目土壤和地下水样品检测分析。</w:t>
      </w:r>
    </w:p>
    <w:p>
      <w:pPr>
        <w:ind w:firstLine="480"/>
        <w:rPr>
          <w:rFonts w:hint="eastAsia"/>
        </w:rPr>
      </w:pPr>
      <w:r>
        <w:rPr>
          <w:rFonts w:hint="eastAsia"/>
        </w:rPr>
        <w:t>2019年3月28日，南通市崇川区环保局在南通市组织召开了《原南通精华制药原料药分厂地块环境调查报告》（以下简称“调查报告”）的评审会，并通过了专家评审，业主于2019年4月7日向南通市崇川生态环境局提交了《原南通精华制药原料药分厂地块环境调查报告》，南通市崇川生态环境局于2019年4月15日对业主报送的《原南通精华制药原料药分厂地块环境调查报告》予以了备案，调查结论为原南通精华制药原料药分厂地块为污染地块，应开展后续的风险评估工作。</w:t>
      </w:r>
    </w:p>
    <w:p>
      <w:pPr>
        <w:ind w:firstLine="480"/>
        <w:rPr>
          <w:rFonts w:hint="eastAsia"/>
        </w:rPr>
      </w:pPr>
      <w:r>
        <w:rPr>
          <w:rFonts w:hint="eastAsia"/>
        </w:rPr>
        <w:t>为了进一步明确土壤、地下水污染范围、污染程度，对调查界定的超标区域进行加密监测；我公司于2019年5月9日-2019年5月11日增加了地下水监测，并建设组合井，界定污染深度，共布设了12口地下水井，4个土壤监测点位，最终补充采样土壤和地下水目标污染物均低于本项目选用的相应筛选值，对人体健康风险可忽略。</w:t>
      </w:r>
    </w:p>
    <w:p>
      <w:pPr>
        <w:ind w:firstLine="480"/>
        <w:rPr>
          <w:rFonts w:hint="eastAsia"/>
        </w:rPr>
      </w:pPr>
      <w:r>
        <w:rPr>
          <w:rFonts w:hint="eastAsia"/>
        </w:rPr>
        <w:t>（1）风险评估情况</w:t>
      </w:r>
    </w:p>
    <w:p>
      <w:pPr>
        <w:ind w:firstLine="480"/>
        <w:rPr>
          <w:rFonts w:hint="eastAsia"/>
        </w:rPr>
      </w:pPr>
      <w:r>
        <w:rPr>
          <w:rFonts w:hint="eastAsia"/>
        </w:rPr>
        <w:t>基于敏感用地方式，健康风险计算结果显示，本项目调查地块土壤中超过人体健康风险水平的污染物共7种，包括重金属3种（镍、铅、砷）、SVOCs3种（苯并(a)芘、二苯并(a,h)蒽、苯胺）、总石油烃，其中铅基于血铅模型（IEUBK）进行人体健康风险评估，也超过了人体健康风险水平，需要开展后续的相关工作。</w:t>
      </w:r>
    </w:p>
    <w:p>
      <w:pPr>
        <w:ind w:firstLine="480"/>
        <w:rPr>
          <w:rFonts w:hint="eastAsia"/>
        </w:rPr>
      </w:pPr>
      <w:r>
        <w:rPr>
          <w:rFonts w:hint="eastAsia"/>
        </w:rPr>
        <w:t>基于敏感用地方式，在不饮用地下水的情况下，调查地块地下水中石油类、苯、苯胺等指标的风险评估结果在健康风险可接受范围内，对人体健康风险可忽略。</w:t>
      </w:r>
    </w:p>
    <w:p>
      <w:pPr>
        <w:numPr>
          <w:ilvl w:val="0"/>
          <w:numId w:val="2"/>
        </w:numPr>
        <w:ind w:firstLine="480"/>
        <w:rPr>
          <w:rFonts w:hint="eastAsia"/>
        </w:rPr>
      </w:pPr>
      <w:r>
        <w:rPr>
          <w:rFonts w:hint="eastAsia"/>
        </w:rPr>
        <w:t>项目风险控制值确定</w:t>
      </w:r>
    </w:p>
    <w:p>
      <w:pPr>
        <w:pStyle w:val="4"/>
        <w:rPr>
          <w:rFonts w:hint="eastAsia"/>
        </w:rPr>
      </w:pPr>
      <w:r>
        <w:rPr>
          <w:rFonts w:hint="eastAsia"/>
        </w:rPr>
        <w:br w:type="page"/>
      </w:r>
      <w:r>
        <w:rPr>
          <w:rFonts w:hint="eastAsia"/>
        </w:rPr>
        <w:t>项目风险控制值确定</w:t>
      </w:r>
    </w:p>
    <w:p>
      <w:pPr>
        <w:pStyle w:val="9"/>
      </w:pPr>
      <w:r>
        <w:rPr>
          <w:rFonts w:hint="eastAsia"/>
        </w:rPr>
        <w:t>单位：mg/kg(石油类：mg/L)</w:t>
      </w:r>
    </w:p>
    <w:tbl>
      <w:tblPr>
        <w:tblStyle w:val="7"/>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533"/>
        <w:gridCol w:w="1533"/>
        <w:gridCol w:w="1533"/>
        <w:gridCol w:w="1533"/>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noWrap w:val="0"/>
            <w:vAlign w:val="center"/>
          </w:tcPr>
          <w:p>
            <w:pPr>
              <w:pStyle w:val="10"/>
            </w:pPr>
            <w:r>
              <w:rPr>
                <w:rFonts w:hint="eastAsia"/>
              </w:rPr>
              <w:t>类别</w:t>
            </w:r>
          </w:p>
        </w:tc>
        <w:tc>
          <w:tcPr>
            <w:tcW w:w="1533" w:type="dxa"/>
            <w:noWrap w:val="0"/>
            <w:vAlign w:val="center"/>
          </w:tcPr>
          <w:p>
            <w:pPr>
              <w:pStyle w:val="10"/>
              <w:rPr>
                <w:rFonts w:hint="eastAsia"/>
              </w:rPr>
            </w:pPr>
          </w:p>
          <w:p>
            <w:pPr>
              <w:pStyle w:val="10"/>
              <w:rPr>
                <w:rFonts w:hint="eastAsia"/>
              </w:rPr>
            </w:pPr>
          </w:p>
          <w:p>
            <w:pPr>
              <w:pStyle w:val="10"/>
              <w:rPr>
                <w:rFonts w:hint="eastAsia"/>
              </w:rPr>
            </w:pPr>
          </w:p>
          <w:p>
            <w:pPr>
              <w:pStyle w:val="10"/>
              <w:rPr>
                <w:rFonts w:hint="eastAsia"/>
              </w:rPr>
            </w:pPr>
          </w:p>
          <w:p>
            <w:pPr>
              <w:pStyle w:val="10"/>
              <w:rPr>
                <w:rFonts w:hint="eastAsia"/>
              </w:rPr>
            </w:pPr>
            <w: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0" cy="1000125"/>
                  <wp:effectExtent l="0" t="0" r="0" b="0"/>
                  <wp:wrapNone/>
                  <wp:docPr id="12" name="图片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_2" descr="/"/>
                          <pic:cNvPicPr>
                            <a:picLocks noChangeAspect="1"/>
                          </pic:cNvPicPr>
                        </pic:nvPicPr>
                        <pic:blipFill>
                          <a:blip r:embed="rId5"/>
                          <a:stretch>
                            <a:fillRect/>
                          </a:stretch>
                        </pic:blipFill>
                        <pic:spPr>
                          <a:xfrm>
                            <a:off x="0" y="0"/>
                            <a:ext cx="0" cy="1000125"/>
                          </a:xfrm>
                          <a:prstGeom prst="rect">
                            <a:avLst/>
                          </a:prstGeom>
                          <a:noFill/>
                          <a:ln>
                            <a:noFill/>
                          </a:ln>
                        </pic:spPr>
                      </pic:pic>
                    </a:graphicData>
                  </a:graphic>
                </wp:anchor>
              </w:drawing>
            </w:r>
            <w:r>
              <w:rPr>
                <w:rFonts w:hint="eastAsia"/>
              </w:rPr>
              <w:t>污染物（中文）</w:t>
            </w:r>
          </w:p>
        </w:tc>
        <w:tc>
          <w:tcPr>
            <w:tcW w:w="1533" w:type="dxa"/>
            <w:noWrap w:val="0"/>
            <w:vAlign w:val="center"/>
          </w:tcPr>
          <w:p>
            <w:pPr>
              <w:pStyle w:val="10"/>
              <w:rPr>
                <w:rFonts w:hint="eastAsia"/>
              </w:rPr>
            </w:pPr>
            <w:r>
              <w:rPr>
                <w:rFonts w:hint="eastAsia"/>
              </w:rPr>
              <w:t>基于致癌效应的土壤风险控制值</w:t>
            </w:r>
          </w:p>
        </w:tc>
        <w:tc>
          <w:tcPr>
            <w:tcW w:w="1533" w:type="dxa"/>
            <w:noWrap w:val="0"/>
            <w:vAlign w:val="center"/>
          </w:tcPr>
          <w:p>
            <w:pPr>
              <w:pStyle w:val="10"/>
              <w:rPr>
                <w:rFonts w:hint="eastAsia"/>
              </w:rPr>
            </w:pPr>
            <w:r>
              <w:rPr>
                <w:rFonts w:hint="eastAsia"/>
              </w:rPr>
              <w:t>基于非致癌效应的土壤风险控制值</w:t>
            </w:r>
          </w:p>
        </w:tc>
        <w:tc>
          <w:tcPr>
            <w:tcW w:w="1533" w:type="dxa"/>
            <w:noWrap w:val="0"/>
            <w:vAlign w:val="center"/>
          </w:tcPr>
          <w:p>
            <w:pPr>
              <w:pStyle w:val="10"/>
              <w:rPr>
                <w:rFonts w:hint="eastAsia"/>
              </w:rPr>
            </w:pPr>
            <w:r>
              <w:t>《土壤环境质量标准（建设用地土壤污染风险管控标准（试行）》（生态环境部GB36600-2018）中第一类用地</w:t>
            </w:r>
            <w:r>
              <w:rPr>
                <w:rFonts w:hint="eastAsia"/>
              </w:rPr>
              <w:t>筛选</w:t>
            </w:r>
            <w:r>
              <w:t>值</w:t>
            </w:r>
          </w:p>
        </w:tc>
        <w:tc>
          <w:tcPr>
            <w:tcW w:w="1527" w:type="dxa"/>
            <w:noWrap w:val="0"/>
            <w:vAlign w:val="center"/>
          </w:tcPr>
          <w:p>
            <w:pPr>
              <w:pStyle w:val="10"/>
              <w:rPr>
                <w:rFonts w:hint="eastAsia"/>
              </w:rPr>
            </w:pPr>
            <w:r>
              <w:rPr>
                <w:rFonts w:hint="eastAsia"/>
              </w:rPr>
              <w:t>风险控制值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vMerge w:val="restart"/>
            <w:noWrap w:val="0"/>
            <w:vAlign w:val="center"/>
          </w:tcPr>
          <w:p>
            <w:pPr>
              <w:pStyle w:val="10"/>
            </w:pPr>
            <w:r>
              <w:rPr>
                <w:rFonts w:hint="eastAsia"/>
              </w:rPr>
              <w:t>土壤</w:t>
            </w:r>
          </w:p>
        </w:tc>
        <w:tc>
          <w:tcPr>
            <w:tcW w:w="1533" w:type="dxa"/>
            <w:noWrap w:val="0"/>
            <w:vAlign w:val="center"/>
          </w:tcPr>
          <w:p>
            <w:pPr>
              <w:pStyle w:val="10"/>
              <w:rPr>
                <w:rFonts w:hint="eastAsia"/>
              </w:rPr>
            </w:pPr>
            <w:r>
              <w:t>砷（无机）</w:t>
            </w:r>
          </w:p>
        </w:tc>
        <w:tc>
          <w:tcPr>
            <w:tcW w:w="1533" w:type="dxa"/>
            <w:noWrap w:val="0"/>
            <w:vAlign w:val="center"/>
          </w:tcPr>
          <w:p>
            <w:pPr>
              <w:pStyle w:val="10"/>
              <w:rPr>
                <w:rFonts w:hint="eastAsia"/>
              </w:rPr>
            </w:pPr>
            <w:r>
              <w:t>4.50E-01</w:t>
            </w:r>
          </w:p>
        </w:tc>
        <w:tc>
          <w:tcPr>
            <w:tcW w:w="1533" w:type="dxa"/>
            <w:noWrap w:val="0"/>
            <w:vAlign w:val="center"/>
          </w:tcPr>
          <w:p>
            <w:pPr>
              <w:pStyle w:val="10"/>
              <w:rPr>
                <w:rFonts w:hint="eastAsia"/>
              </w:rPr>
            </w:pPr>
            <w:r>
              <w:t>1.16E+01</w:t>
            </w:r>
          </w:p>
        </w:tc>
        <w:tc>
          <w:tcPr>
            <w:tcW w:w="1533" w:type="dxa"/>
            <w:noWrap w:val="0"/>
            <w:vAlign w:val="center"/>
          </w:tcPr>
          <w:p>
            <w:pPr>
              <w:pStyle w:val="10"/>
            </w:pPr>
            <w:r>
              <w:rPr>
                <w:rFonts w:hint="eastAsia"/>
              </w:rPr>
              <w:t>20</w:t>
            </w:r>
          </w:p>
        </w:tc>
        <w:tc>
          <w:tcPr>
            <w:tcW w:w="1527" w:type="dxa"/>
            <w:noWrap w:val="0"/>
            <w:vAlign w:val="center"/>
          </w:tcPr>
          <w:p>
            <w:pPr>
              <w:pStyle w:val="10"/>
              <w:rPr>
                <w:rFonts w:hint="eastAsia"/>
              </w:rPr>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vMerge w:val="continue"/>
            <w:noWrap w:val="0"/>
            <w:vAlign w:val="center"/>
          </w:tcPr>
          <w:p>
            <w:pPr>
              <w:pStyle w:val="10"/>
            </w:pPr>
          </w:p>
        </w:tc>
        <w:tc>
          <w:tcPr>
            <w:tcW w:w="1533" w:type="dxa"/>
            <w:noWrap w:val="0"/>
            <w:vAlign w:val="center"/>
          </w:tcPr>
          <w:p>
            <w:pPr>
              <w:pStyle w:val="10"/>
              <w:rPr>
                <w:rFonts w:hint="eastAsia"/>
              </w:rPr>
            </w:pPr>
            <w:r>
              <w:t>镍</w:t>
            </w:r>
          </w:p>
        </w:tc>
        <w:tc>
          <w:tcPr>
            <w:tcW w:w="1533" w:type="dxa"/>
            <w:noWrap w:val="0"/>
            <w:vAlign w:val="center"/>
          </w:tcPr>
          <w:p>
            <w:pPr>
              <w:pStyle w:val="10"/>
              <w:rPr>
                <w:rFonts w:hint="eastAsia"/>
              </w:rPr>
            </w:pPr>
            <w:r>
              <w:t>1.39E+02</w:t>
            </w:r>
          </w:p>
        </w:tc>
        <w:tc>
          <w:tcPr>
            <w:tcW w:w="1533" w:type="dxa"/>
            <w:noWrap w:val="0"/>
            <w:vAlign w:val="center"/>
          </w:tcPr>
          <w:p>
            <w:pPr>
              <w:pStyle w:val="10"/>
              <w:rPr>
                <w:rFonts w:hint="eastAsia"/>
              </w:rPr>
            </w:pPr>
            <w:r>
              <w:t>3.04E+02</w:t>
            </w:r>
          </w:p>
        </w:tc>
        <w:tc>
          <w:tcPr>
            <w:tcW w:w="1533" w:type="dxa"/>
            <w:noWrap w:val="0"/>
            <w:vAlign w:val="center"/>
          </w:tcPr>
          <w:p>
            <w:pPr>
              <w:pStyle w:val="10"/>
            </w:pPr>
            <w:r>
              <w:rPr>
                <w:rFonts w:hint="eastAsia"/>
              </w:rPr>
              <w:t>150</w:t>
            </w:r>
          </w:p>
        </w:tc>
        <w:tc>
          <w:tcPr>
            <w:tcW w:w="1527" w:type="dxa"/>
            <w:noWrap w:val="0"/>
            <w:vAlign w:val="center"/>
          </w:tcPr>
          <w:p>
            <w:pPr>
              <w:pStyle w:val="10"/>
              <w:rPr>
                <w:rFonts w:hint="eastAsia"/>
              </w:rPr>
            </w:pPr>
            <w:r>
              <w:rPr>
                <w:rFonts w:hint="eastAsia"/>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vMerge w:val="continue"/>
            <w:noWrap w:val="0"/>
            <w:vAlign w:val="center"/>
          </w:tcPr>
          <w:p>
            <w:pPr>
              <w:pStyle w:val="10"/>
            </w:pPr>
          </w:p>
        </w:tc>
        <w:tc>
          <w:tcPr>
            <w:tcW w:w="1533" w:type="dxa"/>
            <w:noWrap w:val="0"/>
            <w:vAlign w:val="center"/>
          </w:tcPr>
          <w:p>
            <w:pPr>
              <w:pStyle w:val="10"/>
              <w:rPr>
                <w:rFonts w:hint="eastAsia"/>
              </w:rPr>
            </w:pPr>
            <w:r>
              <w:t>苯胺</w:t>
            </w:r>
          </w:p>
        </w:tc>
        <w:tc>
          <w:tcPr>
            <w:tcW w:w="1533" w:type="dxa"/>
            <w:noWrap w:val="0"/>
            <w:vAlign w:val="center"/>
          </w:tcPr>
          <w:p>
            <w:pPr>
              <w:pStyle w:val="10"/>
              <w:rPr>
                <w:rFonts w:hint="eastAsia"/>
              </w:rPr>
            </w:pPr>
            <w:r>
              <w:t>9.03E+01</w:t>
            </w:r>
          </w:p>
        </w:tc>
        <w:tc>
          <w:tcPr>
            <w:tcW w:w="1533" w:type="dxa"/>
            <w:noWrap w:val="0"/>
            <w:vAlign w:val="center"/>
          </w:tcPr>
          <w:p>
            <w:pPr>
              <w:pStyle w:val="10"/>
              <w:rPr>
                <w:rFonts w:hint="eastAsia"/>
              </w:rPr>
            </w:pPr>
            <w:r>
              <w:t>9.60E+01</w:t>
            </w:r>
          </w:p>
        </w:tc>
        <w:tc>
          <w:tcPr>
            <w:tcW w:w="1533" w:type="dxa"/>
            <w:noWrap w:val="0"/>
            <w:vAlign w:val="center"/>
          </w:tcPr>
          <w:p>
            <w:pPr>
              <w:pStyle w:val="10"/>
            </w:pPr>
            <w:r>
              <w:rPr>
                <w:rFonts w:hint="eastAsia"/>
              </w:rPr>
              <w:t>92</w:t>
            </w:r>
          </w:p>
        </w:tc>
        <w:tc>
          <w:tcPr>
            <w:tcW w:w="1527" w:type="dxa"/>
            <w:noWrap w:val="0"/>
            <w:vAlign w:val="center"/>
          </w:tcPr>
          <w:p>
            <w:pPr>
              <w:pStyle w:val="10"/>
              <w:rPr>
                <w:rFonts w:hint="eastAsia"/>
              </w:rPr>
            </w:pPr>
            <w:r>
              <w:rPr>
                <w:rFonts w:hint="eastAsia"/>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vMerge w:val="continue"/>
            <w:noWrap w:val="0"/>
            <w:vAlign w:val="center"/>
          </w:tcPr>
          <w:p>
            <w:pPr>
              <w:pStyle w:val="10"/>
            </w:pPr>
          </w:p>
        </w:tc>
        <w:tc>
          <w:tcPr>
            <w:tcW w:w="1533" w:type="dxa"/>
            <w:noWrap w:val="0"/>
            <w:vAlign w:val="center"/>
          </w:tcPr>
          <w:p>
            <w:pPr>
              <w:pStyle w:val="10"/>
              <w:rPr>
                <w:rFonts w:hint="eastAsia"/>
              </w:rPr>
            </w:pPr>
            <w:r>
              <w:t>苯并(a)芘</w:t>
            </w:r>
          </w:p>
        </w:tc>
        <w:tc>
          <w:tcPr>
            <w:tcW w:w="1533" w:type="dxa"/>
            <w:noWrap w:val="0"/>
            <w:vAlign w:val="center"/>
          </w:tcPr>
          <w:p>
            <w:pPr>
              <w:pStyle w:val="10"/>
              <w:rPr>
                <w:rFonts w:hint="eastAsia"/>
              </w:rPr>
            </w:pPr>
            <w:r>
              <w:t>5.46E-01</w:t>
            </w:r>
          </w:p>
        </w:tc>
        <w:tc>
          <w:tcPr>
            <w:tcW w:w="1533" w:type="dxa"/>
            <w:noWrap w:val="0"/>
            <w:vAlign w:val="center"/>
          </w:tcPr>
          <w:p>
            <w:pPr>
              <w:pStyle w:val="10"/>
              <w:rPr>
                <w:rFonts w:hint="eastAsia"/>
              </w:rPr>
            </w:pPr>
            <w:r>
              <w:t>4.41E+00</w:t>
            </w:r>
          </w:p>
        </w:tc>
        <w:tc>
          <w:tcPr>
            <w:tcW w:w="1533" w:type="dxa"/>
            <w:noWrap w:val="0"/>
            <w:vAlign w:val="center"/>
          </w:tcPr>
          <w:p>
            <w:pPr>
              <w:pStyle w:val="10"/>
            </w:pPr>
            <w:r>
              <w:rPr>
                <w:rFonts w:hint="eastAsia"/>
              </w:rPr>
              <w:t>0.55</w:t>
            </w:r>
          </w:p>
        </w:tc>
        <w:tc>
          <w:tcPr>
            <w:tcW w:w="1527" w:type="dxa"/>
            <w:noWrap w:val="0"/>
            <w:vAlign w:val="center"/>
          </w:tcPr>
          <w:p>
            <w:pPr>
              <w:pStyle w:val="10"/>
              <w:rPr>
                <w:rFonts w:hint="eastAsia"/>
              </w:rP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vMerge w:val="continue"/>
            <w:noWrap w:val="0"/>
            <w:vAlign w:val="center"/>
          </w:tcPr>
          <w:p>
            <w:pPr>
              <w:pStyle w:val="10"/>
            </w:pPr>
          </w:p>
        </w:tc>
        <w:tc>
          <w:tcPr>
            <w:tcW w:w="1533" w:type="dxa"/>
            <w:noWrap w:val="0"/>
            <w:vAlign w:val="center"/>
          </w:tcPr>
          <w:p>
            <w:pPr>
              <w:pStyle w:val="10"/>
              <w:rPr>
                <w:rFonts w:hint="eastAsia"/>
              </w:rPr>
            </w:pPr>
            <w:r>
              <w:t>二苯并(a,h)蒽</w:t>
            </w:r>
          </w:p>
        </w:tc>
        <w:tc>
          <w:tcPr>
            <w:tcW w:w="1533" w:type="dxa"/>
            <w:noWrap w:val="0"/>
            <w:vAlign w:val="center"/>
          </w:tcPr>
          <w:p>
            <w:pPr>
              <w:pStyle w:val="10"/>
              <w:rPr>
                <w:rFonts w:hint="eastAsia"/>
              </w:rPr>
            </w:pPr>
            <w:r>
              <w:t>5.47E-01</w:t>
            </w:r>
          </w:p>
        </w:tc>
        <w:tc>
          <w:tcPr>
            <w:tcW w:w="1533" w:type="dxa"/>
            <w:noWrap w:val="0"/>
            <w:vAlign w:val="center"/>
          </w:tcPr>
          <w:p>
            <w:pPr>
              <w:pStyle w:val="10"/>
              <w:rPr>
                <w:rFonts w:hint="eastAsia"/>
              </w:rPr>
            </w:pPr>
            <w:r>
              <w:t>-</w:t>
            </w:r>
          </w:p>
        </w:tc>
        <w:tc>
          <w:tcPr>
            <w:tcW w:w="1533" w:type="dxa"/>
            <w:noWrap w:val="0"/>
            <w:vAlign w:val="center"/>
          </w:tcPr>
          <w:p>
            <w:pPr>
              <w:pStyle w:val="10"/>
            </w:pPr>
            <w:r>
              <w:rPr>
                <w:rFonts w:hint="eastAsia"/>
              </w:rPr>
              <w:t>0.55</w:t>
            </w:r>
          </w:p>
        </w:tc>
        <w:tc>
          <w:tcPr>
            <w:tcW w:w="1527" w:type="dxa"/>
            <w:noWrap w:val="0"/>
            <w:vAlign w:val="center"/>
          </w:tcPr>
          <w:p>
            <w:pPr>
              <w:pStyle w:val="10"/>
              <w:rPr>
                <w:rFonts w:hint="eastAsia"/>
              </w:rP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3" w:type="dxa"/>
            <w:vMerge w:val="continue"/>
            <w:noWrap w:val="0"/>
            <w:vAlign w:val="center"/>
          </w:tcPr>
          <w:p>
            <w:pPr>
              <w:pStyle w:val="10"/>
            </w:pPr>
          </w:p>
        </w:tc>
        <w:tc>
          <w:tcPr>
            <w:tcW w:w="1533" w:type="dxa"/>
            <w:noWrap w:val="0"/>
            <w:vAlign w:val="center"/>
          </w:tcPr>
          <w:p>
            <w:pPr>
              <w:pStyle w:val="10"/>
              <w:rPr>
                <w:rFonts w:hint="eastAsia"/>
              </w:rPr>
            </w:pPr>
            <w:r>
              <w:t>石油烃（C10-C40）</w:t>
            </w:r>
          </w:p>
        </w:tc>
        <w:tc>
          <w:tcPr>
            <w:tcW w:w="1533" w:type="dxa"/>
            <w:noWrap w:val="0"/>
            <w:vAlign w:val="center"/>
          </w:tcPr>
          <w:p>
            <w:pPr>
              <w:pStyle w:val="10"/>
              <w:rPr>
                <w:rFonts w:hint="eastAsia"/>
              </w:rPr>
            </w:pPr>
            <w:r>
              <w:t>-</w:t>
            </w:r>
          </w:p>
        </w:tc>
        <w:tc>
          <w:tcPr>
            <w:tcW w:w="1533" w:type="dxa"/>
            <w:noWrap w:val="0"/>
            <w:vAlign w:val="center"/>
          </w:tcPr>
          <w:p>
            <w:pPr>
              <w:pStyle w:val="10"/>
              <w:rPr>
                <w:rFonts w:hint="eastAsia"/>
              </w:rPr>
            </w:pPr>
            <w:r>
              <w:t>8.26E+02</w:t>
            </w:r>
          </w:p>
        </w:tc>
        <w:tc>
          <w:tcPr>
            <w:tcW w:w="1533" w:type="dxa"/>
            <w:noWrap w:val="0"/>
            <w:vAlign w:val="center"/>
          </w:tcPr>
          <w:p>
            <w:pPr>
              <w:pStyle w:val="10"/>
            </w:pPr>
            <w:r>
              <w:rPr>
                <w:rFonts w:hint="eastAsia"/>
              </w:rPr>
              <w:t>826</w:t>
            </w:r>
          </w:p>
        </w:tc>
        <w:tc>
          <w:tcPr>
            <w:tcW w:w="1527" w:type="dxa"/>
            <w:noWrap w:val="0"/>
            <w:vAlign w:val="center"/>
          </w:tcPr>
          <w:p>
            <w:pPr>
              <w:pStyle w:val="10"/>
              <w:rPr>
                <w:rFonts w:hint="eastAsia"/>
              </w:rPr>
            </w:pPr>
            <w:r>
              <w:rPr>
                <w:rFonts w:hint="eastAsia"/>
              </w:rPr>
              <w:t>826</w:t>
            </w:r>
          </w:p>
        </w:tc>
      </w:tr>
    </w:tbl>
    <w:p>
      <w:pPr>
        <w:ind w:firstLine="0" w:firstLineChars="0"/>
        <w:rPr>
          <w:rFonts w:hint="eastAsia"/>
        </w:rPr>
      </w:pPr>
    </w:p>
    <w:p>
      <w:pPr>
        <w:pStyle w:val="2"/>
        <w:ind w:firstLine="480"/>
        <w:rPr>
          <w:rFonts w:hint="eastAsia"/>
        </w:rPr>
        <w:sectPr>
          <w:footerReference r:id="rId3" w:type="default"/>
          <w:pgSz w:w="11906" w:h="16838"/>
          <w:pgMar w:top="1797" w:right="1440" w:bottom="1797" w:left="1440" w:header="851" w:footer="992" w:gutter="0"/>
          <w:pgNumType w:start="1"/>
          <w:cols w:space="720" w:num="1"/>
          <w:docGrid w:type="lines" w:linePitch="312" w:charSpace="0"/>
        </w:sectPr>
      </w:pPr>
    </w:p>
    <w:p>
      <w:pPr>
        <w:pStyle w:val="3"/>
        <w:numPr>
          <w:ilvl w:val="0"/>
          <w:numId w:val="0"/>
        </w:numPr>
        <w:rPr>
          <w:rFonts w:hint="eastAsia"/>
        </w:rPr>
      </w:pPr>
      <w:r>
        <w:rPr>
          <w:rFonts w:hint="eastAsia"/>
        </w:rPr>
        <w:t>附件1土壤风险评估过程</w:t>
      </w:r>
      <w:bookmarkEnd w:id="0"/>
    </w:p>
    <w:p>
      <w:pPr>
        <w:ind w:firstLine="0" w:firstLineChars="0"/>
        <w:jc w:val="center"/>
      </w:pPr>
      <w:r>
        <w:drawing>
          <wp:inline distT="0" distB="0" distL="114300" distR="114300">
            <wp:extent cx="5725160" cy="3084830"/>
            <wp:effectExtent l="0" t="0" r="254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725160" cy="3084830"/>
                    </a:xfrm>
                    <a:prstGeom prst="rect">
                      <a:avLst/>
                    </a:prstGeom>
                    <a:noFill/>
                    <a:ln>
                      <a:noFill/>
                    </a:ln>
                  </pic:spPr>
                </pic:pic>
              </a:graphicData>
            </a:graphic>
          </wp:inline>
        </w:drawing>
      </w:r>
    </w:p>
    <w:p>
      <w:pPr>
        <w:ind w:firstLine="0" w:firstLineChars="0"/>
        <w:jc w:val="center"/>
      </w:pPr>
      <w:r>
        <w:drawing>
          <wp:inline distT="0" distB="0" distL="114300" distR="114300">
            <wp:extent cx="5725160" cy="3084830"/>
            <wp:effectExtent l="0" t="0" r="2540"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725160" cy="3084830"/>
                    </a:xfrm>
                    <a:prstGeom prst="rect">
                      <a:avLst/>
                    </a:prstGeom>
                    <a:noFill/>
                    <a:ln>
                      <a:noFill/>
                    </a:ln>
                  </pic:spPr>
                </pic:pic>
              </a:graphicData>
            </a:graphic>
          </wp:inline>
        </w:drawing>
      </w:r>
    </w:p>
    <w:p>
      <w:pPr>
        <w:pStyle w:val="2"/>
        <w:ind w:firstLine="0" w:firstLineChars="0"/>
      </w:pPr>
      <w:r>
        <w:drawing>
          <wp:inline distT="0" distB="0" distL="114300" distR="114300">
            <wp:extent cx="5725160" cy="3084830"/>
            <wp:effectExtent l="0" t="0" r="2540"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725160" cy="3084830"/>
                    </a:xfrm>
                    <a:prstGeom prst="rect">
                      <a:avLst/>
                    </a:prstGeom>
                    <a:noFill/>
                    <a:ln>
                      <a:noFill/>
                    </a:ln>
                  </pic:spPr>
                </pic:pic>
              </a:graphicData>
            </a:graphic>
          </wp:inline>
        </w:drawing>
      </w:r>
    </w:p>
    <w:p>
      <w:pPr>
        <w:pStyle w:val="2"/>
        <w:ind w:firstLine="0" w:firstLineChars="0"/>
        <w:sectPr>
          <w:pgSz w:w="11906" w:h="16838"/>
          <w:pgMar w:top="1797" w:right="1440" w:bottom="1797" w:left="1440" w:header="851" w:footer="992" w:gutter="0"/>
          <w:cols w:space="720" w:num="1"/>
          <w:docGrid w:type="lines" w:linePitch="312" w:charSpace="0"/>
        </w:sectPr>
      </w:pPr>
    </w:p>
    <w:p>
      <w:pPr>
        <w:pStyle w:val="3"/>
        <w:numPr>
          <w:ilvl w:val="0"/>
          <w:numId w:val="0"/>
        </w:numPr>
        <w:rPr>
          <w:rFonts w:hint="eastAsia"/>
        </w:rPr>
      </w:pPr>
      <w:bookmarkStart w:id="2" w:name="_Toc9875571"/>
      <w:r>
        <w:rPr>
          <w:rFonts w:hint="eastAsia"/>
        </w:rPr>
        <w:t>附件2土壤风险控制值计算过程</w:t>
      </w:r>
      <w:bookmarkEnd w:id="2"/>
    </w:p>
    <w:p>
      <w:pPr>
        <w:ind w:firstLine="0" w:firstLineChars="0"/>
        <w:rPr>
          <w:rFonts w:hint="eastAsia"/>
        </w:rPr>
      </w:pPr>
      <w:r>
        <w:drawing>
          <wp:inline distT="0" distB="0" distL="114300" distR="114300">
            <wp:extent cx="5725160" cy="3084830"/>
            <wp:effectExtent l="0" t="0" r="254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725160" cy="3084830"/>
                    </a:xfrm>
                    <a:prstGeom prst="rect">
                      <a:avLst/>
                    </a:prstGeom>
                    <a:noFill/>
                    <a:ln>
                      <a:noFill/>
                    </a:ln>
                  </pic:spPr>
                </pic:pic>
              </a:graphicData>
            </a:graphic>
          </wp:inline>
        </w:drawing>
      </w:r>
      <w:r>
        <w:drawing>
          <wp:inline distT="0" distB="0" distL="114300" distR="114300">
            <wp:extent cx="5725160" cy="3084830"/>
            <wp:effectExtent l="0" t="0" r="2540" b="127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a:stretch>
                      <a:fillRect/>
                    </a:stretch>
                  </pic:blipFill>
                  <pic:spPr>
                    <a:xfrm>
                      <a:off x="0" y="0"/>
                      <a:ext cx="5725160" cy="3084830"/>
                    </a:xfrm>
                    <a:prstGeom prst="rect">
                      <a:avLst/>
                    </a:prstGeom>
                    <a:noFill/>
                    <a:ln>
                      <a:noFill/>
                    </a:ln>
                  </pic:spPr>
                </pic:pic>
              </a:graphicData>
            </a:graphic>
          </wp:inline>
        </w:drawing>
      </w:r>
      <w:r>
        <w:drawing>
          <wp:inline distT="0" distB="0" distL="114300" distR="114300">
            <wp:extent cx="5725160" cy="308483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725160" cy="3084830"/>
                    </a:xfrm>
                    <a:prstGeom prst="rect">
                      <a:avLst/>
                    </a:prstGeom>
                    <a:noFill/>
                    <a:ln>
                      <a:noFill/>
                    </a:ln>
                  </pic:spPr>
                </pic:pic>
              </a:graphicData>
            </a:graphic>
          </wp:inline>
        </w:drawing>
      </w:r>
      <w:r>
        <w:drawing>
          <wp:inline distT="0" distB="0" distL="114300" distR="114300">
            <wp:extent cx="5725160" cy="3084830"/>
            <wp:effectExtent l="0" t="0" r="2540" b="127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1"/>
                    <a:stretch>
                      <a:fillRect/>
                    </a:stretch>
                  </pic:blipFill>
                  <pic:spPr>
                    <a:xfrm>
                      <a:off x="0" y="0"/>
                      <a:ext cx="5725160" cy="3084830"/>
                    </a:xfrm>
                    <a:prstGeom prst="rect">
                      <a:avLst/>
                    </a:prstGeom>
                    <a:noFill/>
                    <a:ln>
                      <a:noFill/>
                    </a:ln>
                  </pic:spPr>
                </pic:pic>
              </a:graphicData>
            </a:graphic>
          </wp:inline>
        </w:drawing>
      </w:r>
    </w:p>
    <w:p>
      <w:pPr>
        <w:ind w:firstLine="480"/>
        <w:rPr>
          <w:rFonts w:hint="eastAsia"/>
        </w:rPr>
      </w:pPr>
    </w:p>
    <w:p>
      <w:pPr>
        <w:pStyle w:val="2"/>
        <w:ind w:firstLine="480"/>
        <w:rPr>
          <w:rFonts w:hint="eastAsia"/>
        </w:rPr>
        <w:sectPr>
          <w:pgSz w:w="11906" w:h="16838"/>
          <w:pgMar w:top="1797" w:right="1440" w:bottom="1797" w:left="1440" w:header="851" w:footer="992" w:gutter="0"/>
          <w:cols w:space="720" w:num="1"/>
          <w:docGrid w:type="lines" w:linePitch="312" w:charSpace="0"/>
        </w:sectPr>
      </w:pPr>
    </w:p>
    <w:p>
      <w:pPr>
        <w:pStyle w:val="3"/>
        <w:numPr>
          <w:ilvl w:val="0"/>
          <w:numId w:val="0"/>
        </w:numPr>
        <w:rPr>
          <w:rFonts w:hint="eastAsia"/>
        </w:rPr>
      </w:pPr>
      <w:bookmarkStart w:id="3" w:name="_Toc9875572"/>
      <w:r>
        <w:rPr>
          <w:rFonts w:hint="eastAsia"/>
        </w:rPr>
        <w:t>附件3地下水风险控制值计算过程</w:t>
      </w:r>
      <w:bookmarkEnd w:id="3"/>
    </w:p>
    <w:p>
      <w:pPr>
        <w:pStyle w:val="2"/>
        <w:ind w:firstLine="0" w:firstLineChars="0"/>
        <w:sectPr>
          <w:pgSz w:w="11906" w:h="16838"/>
          <w:pgMar w:top="1797" w:right="1440" w:bottom="1797" w:left="1440" w:header="851" w:footer="992" w:gutter="0"/>
          <w:cols w:space="720" w:num="1"/>
          <w:docGrid w:type="lines" w:linePitch="312" w:charSpace="0"/>
        </w:sectPr>
      </w:pPr>
      <w:r>
        <w:drawing>
          <wp:inline distT="0" distB="0" distL="114300" distR="114300">
            <wp:extent cx="5725160" cy="3084830"/>
            <wp:effectExtent l="0" t="0" r="2540" b="127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2"/>
                    <a:stretch>
                      <a:fillRect/>
                    </a:stretch>
                  </pic:blipFill>
                  <pic:spPr>
                    <a:xfrm>
                      <a:off x="0" y="0"/>
                      <a:ext cx="5725160" cy="3084830"/>
                    </a:xfrm>
                    <a:prstGeom prst="rect">
                      <a:avLst/>
                    </a:prstGeom>
                    <a:noFill/>
                    <a:ln>
                      <a:noFill/>
                    </a:ln>
                  </pic:spPr>
                </pic:pic>
              </a:graphicData>
            </a:graphic>
          </wp:inline>
        </w:drawing>
      </w:r>
      <w:r>
        <w:drawing>
          <wp:inline distT="0" distB="0" distL="114300" distR="114300">
            <wp:extent cx="5725160" cy="3084830"/>
            <wp:effectExtent l="0" t="0" r="2540" b="127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3"/>
                    <a:stretch>
                      <a:fillRect/>
                    </a:stretch>
                  </pic:blipFill>
                  <pic:spPr>
                    <a:xfrm>
                      <a:off x="0" y="0"/>
                      <a:ext cx="5725160" cy="3084830"/>
                    </a:xfrm>
                    <a:prstGeom prst="rect">
                      <a:avLst/>
                    </a:prstGeom>
                    <a:noFill/>
                    <a:ln>
                      <a:noFill/>
                    </a:ln>
                  </pic:spPr>
                </pic:pic>
              </a:graphicData>
            </a:graphic>
          </wp:inline>
        </w:drawing>
      </w:r>
      <w:r>
        <w:drawing>
          <wp:inline distT="0" distB="0" distL="114300" distR="114300">
            <wp:extent cx="5725160" cy="3084830"/>
            <wp:effectExtent l="0" t="0" r="2540" b="12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725160" cy="3084830"/>
                    </a:xfrm>
                    <a:prstGeom prst="rect">
                      <a:avLst/>
                    </a:prstGeom>
                    <a:noFill/>
                    <a:ln>
                      <a:noFill/>
                    </a:ln>
                  </pic:spPr>
                </pic:pic>
              </a:graphicData>
            </a:graphic>
          </wp:inline>
        </w:drawing>
      </w:r>
      <w:r>
        <w:drawing>
          <wp:inline distT="0" distB="0" distL="114300" distR="114300">
            <wp:extent cx="5725160" cy="3084830"/>
            <wp:effectExtent l="0" t="0" r="2540" b="127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5"/>
                    <a:stretch>
                      <a:fillRect/>
                    </a:stretch>
                  </pic:blipFill>
                  <pic:spPr>
                    <a:xfrm>
                      <a:off x="0" y="0"/>
                      <a:ext cx="5725160" cy="3084830"/>
                    </a:xfrm>
                    <a:prstGeom prst="rect">
                      <a:avLst/>
                    </a:prstGeom>
                    <a:noFill/>
                    <a:ln>
                      <a:noFill/>
                    </a:ln>
                  </pic:spPr>
                </pic:pic>
              </a:graphicData>
            </a:graphic>
          </wp:inline>
        </w:drawing>
      </w:r>
    </w:p>
    <w:p>
      <w:pPr>
        <w:pStyle w:val="4"/>
      </w:pPr>
      <w:r>
        <w:rPr>
          <w:rFonts w:hint="eastAsia"/>
        </w:rPr>
        <w:t>地下水风险控制值计算结果表</w:t>
      </w:r>
    </w:p>
    <w:p>
      <w:pPr>
        <w:pStyle w:val="9"/>
      </w:pPr>
      <w:r>
        <w:rPr>
          <w:rFonts w:hint="eastAsia"/>
        </w:rPr>
        <w:t>单位：mg/L</w:t>
      </w:r>
    </w:p>
    <w:tbl>
      <w:tblPr>
        <w:tblStyle w:val="7"/>
        <w:tblW w:w="13274" w:type="dxa"/>
        <w:tblInd w:w="0" w:type="dxa"/>
        <w:tblLayout w:type="fixed"/>
        <w:tblCellMar>
          <w:top w:w="0" w:type="dxa"/>
          <w:left w:w="0" w:type="dxa"/>
          <w:bottom w:w="0" w:type="dxa"/>
          <w:right w:w="0" w:type="dxa"/>
        </w:tblCellMar>
      </w:tblPr>
      <w:tblGrid>
        <w:gridCol w:w="338"/>
        <w:gridCol w:w="1276"/>
        <w:gridCol w:w="884"/>
        <w:gridCol w:w="886"/>
        <w:gridCol w:w="887"/>
        <w:gridCol w:w="1011"/>
        <w:gridCol w:w="878"/>
        <w:gridCol w:w="876"/>
        <w:gridCol w:w="875"/>
        <w:gridCol w:w="1021"/>
        <w:gridCol w:w="890"/>
        <w:gridCol w:w="829"/>
        <w:gridCol w:w="921"/>
        <w:gridCol w:w="846"/>
        <w:gridCol w:w="856"/>
      </w:tblGrid>
      <w:tr>
        <w:tblPrEx>
          <w:tblLayout w:type="fixed"/>
          <w:tblCellMar>
            <w:top w:w="0" w:type="dxa"/>
            <w:left w:w="0" w:type="dxa"/>
            <w:bottom w:w="0" w:type="dxa"/>
            <w:right w:w="0" w:type="dxa"/>
          </w:tblCellMar>
        </w:tblPrEx>
        <w:trPr>
          <w:trHeight w:val="660" w:hRule="atLeast"/>
        </w:trPr>
        <w:tc>
          <w:tcPr>
            <w:tcW w:w="338" w:type="dxa"/>
            <w:vMerge w:val="restart"/>
            <w:tcBorders>
              <w:top w:val="single" w:color="auto" w:sz="12" w:space="0"/>
              <w:left w:val="single" w:color="auto" w:sz="12" w:space="0"/>
              <w:bottom w:val="single" w:color="auto" w:sz="4" w:space="0"/>
              <w:right w:val="single" w:color="auto" w:sz="4" w:space="0"/>
            </w:tcBorders>
            <w:shd w:val="clear" w:color="000000" w:fill="CCFFCC"/>
            <w:noWrap w:val="0"/>
            <w:tcMar>
              <w:top w:w="15" w:type="dxa"/>
              <w:left w:w="15" w:type="dxa"/>
              <w:right w:w="15" w:type="dxa"/>
            </w:tcMar>
            <w:vAlign w:val="center"/>
          </w:tcPr>
          <w:p>
            <w:pPr>
              <w:pStyle w:val="10"/>
            </w:pPr>
            <w:r>
              <w:rPr>
                <w:rFonts w:hint="eastAsia"/>
              </w:rPr>
              <w:t>编号</w:t>
            </w:r>
          </w:p>
        </w:tc>
        <w:tc>
          <w:tcPr>
            <w:tcW w:w="1276" w:type="dxa"/>
            <w:vMerge w:val="restart"/>
            <w:tcBorders>
              <w:top w:val="single" w:color="auto" w:sz="12" w:space="0"/>
              <w:left w:val="single" w:color="auto" w:sz="4" w:space="0"/>
              <w:bottom w:val="single" w:color="auto" w:sz="4" w:space="0"/>
              <w:right w:val="single" w:color="auto" w:sz="4" w:space="0"/>
            </w:tcBorders>
            <w:shd w:val="clear" w:color="000000" w:fill="CCFFCC"/>
            <w:noWrap/>
            <w:tcMar>
              <w:top w:w="15" w:type="dxa"/>
              <w:left w:w="15" w:type="dxa"/>
              <w:right w:w="15" w:type="dxa"/>
            </w:tcMar>
            <w:vAlign w:val="center"/>
          </w:tcPr>
          <w:p>
            <w:pPr>
              <w:pStyle w:val="10"/>
            </w:pPr>
            <w:r>
              <w:rPr>
                <w:rFonts w:hint="eastAsia"/>
              </w:rPr>
              <w:t>污染物（中文）</w:t>
            </w:r>
          </w:p>
        </w:tc>
        <w:tc>
          <w:tcPr>
            <w:tcW w:w="884" w:type="dxa"/>
            <w:vMerge w:val="restart"/>
            <w:tcBorders>
              <w:top w:val="single" w:color="auto" w:sz="12" w:space="0"/>
              <w:left w:val="single" w:color="auto" w:sz="4" w:space="0"/>
              <w:bottom w:val="single" w:color="auto" w:sz="4" w:space="0"/>
              <w:right w:val="single" w:color="auto" w:sz="4" w:space="0"/>
            </w:tcBorders>
            <w:shd w:val="clear" w:color="000000" w:fill="CCFFCC"/>
            <w:noWrap/>
            <w:tcMar>
              <w:top w:w="15" w:type="dxa"/>
              <w:left w:w="15" w:type="dxa"/>
              <w:right w:w="15" w:type="dxa"/>
            </w:tcMar>
            <w:vAlign w:val="center"/>
          </w:tcPr>
          <w:p>
            <w:pPr>
              <w:pStyle w:val="10"/>
            </w:pPr>
            <w:r>
              <w:rPr>
                <w:rFonts w:hint="eastAsia"/>
              </w:rPr>
              <w:t>污染物（英文）</w:t>
            </w:r>
          </w:p>
        </w:tc>
        <w:tc>
          <w:tcPr>
            <w:tcW w:w="3662" w:type="dxa"/>
            <w:gridSpan w:val="4"/>
            <w:tcBorders>
              <w:top w:val="single" w:color="auto" w:sz="12" w:space="0"/>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rPr>
                <w:rFonts w:hint="eastAsia"/>
              </w:rPr>
            </w:pPr>
            <w:r>
              <w:rPr>
                <w:rFonts w:hint="eastAsia"/>
              </w:rPr>
              <w:t>基于致癌效应的地下水风险控制值</w:t>
            </w:r>
          </w:p>
        </w:tc>
        <w:tc>
          <w:tcPr>
            <w:tcW w:w="3662" w:type="dxa"/>
            <w:gridSpan w:val="4"/>
            <w:tcBorders>
              <w:top w:val="single" w:color="auto" w:sz="12" w:space="0"/>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rPr>
                <w:rFonts w:hint="eastAsia"/>
              </w:rPr>
            </w:pPr>
            <w:r>
              <w:rPr>
                <w:rFonts w:hint="eastAsia"/>
              </w:rPr>
              <w:t>基于非致癌效应的地下水风险控制值</w:t>
            </w:r>
          </w:p>
        </w:tc>
        <w:tc>
          <w:tcPr>
            <w:tcW w:w="829" w:type="dxa"/>
            <w:tcBorders>
              <w:top w:val="single" w:color="auto" w:sz="12" w:space="0"/>
              <w:left w:val="nil"/>
              <w:bottom w:val="single" w:color="auto" w:sz="4" w:space="0"/>
              <w:right w:val="single" w:color="auto" w:sz="4" w:space="0"/>
            </w:tcBorders>
            <w:shd w:val="clear" w:color="000000" w:fill="CCFFCC"/>
            <w:noWrap w:val="0"/>
            <w:tcMar>
              <w:top w:w="15" w:type="dxa"/>
              <w:left w:w="15" w:type="dxa"/>
              <w:right w:w="15" w:type="dxa"/>
            </w:tcMar>
            <w:vAlign w:val="center"/>
          </w:tcPr>
          <w:p>
            <w:pPr>
              <w:pStyle w:val="10"/>
              <w:rPr>
                <w:rFonts w:hint="eastAsia"/>
              </w:rPr>
            </w:pPr>
            <w:r>
              <w:rPr>
                <w:rFonts w:hint="eastAsia"/>
              </w:rPr>
              <w:t>控制值</w:t>
            </w:r>
            <w:r>
              <w:rPr>
                <w:rFonts w:hint="eastAsia"/>
              </w:rPr>
              <w:br w:type="textWrapping"/>
            </w:r>
            <w:r>
              <w:rPr>
                <w:rFonts w:hint="eastAsia"/>
              </w:rPr>
              <w:t>(保护健康)</w:t>
            </w:r>
          </w:p>
        </w:tc>
        <w:tc>
          <w:tcPr>
            <w:tcW w:w="1767" w:type="dxa"/>
            <w:gridSpan w:val="2"/>
            <w:tcBorders>
              <w:top w:val="single" w:color="auto" w:sz="12" w:space="0"/>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rPr>
                <w:rFonts w:hint="eastAsia"/>
              </w:rPr>
            </w:pPr>
            <w:r>
              <w:rPr>
                <w:rFonts w:hint="eastAsia"/>
              </w:rPr>
              <w:t>控制值(保护水环境)</w:t>
            </w:r>
          </w:p>
        </w:tc>
        <w:tc>
          <w:tcPr>
            <w:tcW w:w="856" w:type="dxa"/>
            <w:tcBorders>
              <w:top w:val="single" w:color="auto" w:sz="12" w:space="0"/>
              <w:left w:val="nil"/>
              <w:bottom w:val="single" w:color="auto" w:sz="4" w:space="0"/>
              <w:right w:val="single" w:color="auto" w:sz="12" w:space="0"/>
            </w:tcBorders>
            <w:shd w:val="clear" w:color="000000" w:fill="CCFFCC"/>
            <w:noWrap/>
            <w:tcMar>
              <w:top w:w="15" w:type="dxa"/>
              <w:left w:w="15" w:type="dxa"/>
              <w:right w:w="15" w:type="dxa"/>
            </w:tcMar>
            <w:vAlign w:val="center"/>
          </w:tcPr>
          <w:p>
            <w:pPr>
              <w:pStyle w:val="10"/>
              <w:rPr>
                <w:rFonts w:hint="eastAsia"/>
              </w:rPr>
            </w:pPr>
            <w:r>
              <w:rPr>
                <w:rFonts w:hint="eastAsia"/>
              </w:rPr>
              <w:t>综合控制值</w:t>
            </w:r>
          </w:p>
        </w:tc>
      </w:tr>
      <w:tr>
        <w:tblPrEx>
          <w:tblLayout w:type="fixed"/>
          <w:tblCellMar>
            <w:top w:w="0" w:type="dxa"/>
            <w:left w:w="0" w:type="dxa"/>
            <w:bottom w:w="0" w:type="dxa"/>
            <w:right w:w="0" w:type="dxa"/>
          </w:tblCellMar>
        </w:tblPrEx>
        <w:trPr>
          <w:trHeight w:val="420" w:hRule="atLeast"/>
        </w:trPr>
        <w:tc>
          <w:tcPr>
            <w:tcW w:w="338" w:type="dxa"/>
            <w:vMerge w:val="continue"/>
            <w:tcBorders>
              <w:top w:val="single" w:color="auto" w:sz="12" w:space="0"/>
              <w:left w:val="single" w:color="auto" w:sz="12" w:space="0"/>
              <w:bottom w:val="single" w:color="auto" w:sz="4" w:space="0"/>
              <w:right w:val="single" w:color="auto" w:sz="4" w:space="0"/>
            </w:tcBorders>
            <w:shd w:val="clear" w:color="000000" w:fill="CCFFCC"/>
            <w:noWrap w:val="0"/>
            <w:tcMar>
              <w:top w:w="15" w:type="dxa"/>
              <w:left w:w="15" w:type="dxa"/>
              <w:right w:w="15" w:type="dxa"/>
            </w:tcMar>
            <w:vAlign w:val="center"/>
          </w:tcPr>
          <w:p>
            <w:pPr>
              <w:pStyle w:val="10"/>
            </w:pPr>
          </w:p>
        </w:tc>
        <w:tc>
          <w:tcPr>
            <w:tcW w:w="1276" w:type="dxa"/>
            <w:vMerge w:val="continue"/>
            <w:tcBorders>
              <w:top w:val="single" w:color="auto" w:sz="12" w:space="0"/>
              <w:left w:val="single" w:color="auto" w:sz="4" w:space="0"/>
              <w:bottom w:val="single" w:color="auto" w:sz="4" w:space="0"/>
              <w:right w:val="single" w:color="auto" w:sz="4" w:space="0"/>
            </w:tcBorders>
            <w:shd w:val="clear" w:color="000000" w:fill="CCFFCC"/>
            <w:noWrap/>
            <w:tcMar>
              <w:top w:w="15" w:type="dxa"/>
              <w:left w:w="15" w:type="dxa"/>
              <w:right w:w="15" w:type="dxa"/>
            </w:tcMar>
            <w:vAlign w:val="center"/>
          </w:tcPr>
          <w:p>
            <w:pPr>
              <w:pStyle w:val="10"/>
            </w:pPr>
          </w:p>
        </w:tc>
        <w:tc>
          <w:tcPr>
            <w:tcW w:w="884" w:type="dxa"/>
            <w:vMerge w:val="continue"/>
            <w:tcBorders>
              <w:top w:val="single" w:color="auto" w:sz="12" w:space="0"/>
              <w:left w:val="single" w:color="auto" w:sz="4" w:space="0"/>
              <w:bottom w:val="single" w:color="auto" w:sz="4" w:space="0"/>
              <w:right w:val="single" w:color="auto" w:sz="4" w:space="0"/>
            </w:tcBorders>
            <w:shd w:val="clear" w:color="000000" w:fill="CCFFCC"/>
            <w:noWrap/>
            <w:tcMar>
              <w:top w:w="15" w:type="dxa"/>
              <w:left w:w="15" w:type="dxa"/>
              <w:right w:w="15" w:type="dxa"/>
            </w:tcMar>
            <w:vAlign w:val="center"/>
          </w:tcPr>
          <w:p>
            <w:pPr>
              <w:pStyle w:val="10"/>
            </w:pPr>
          </w:p>
        </w:tc>
        <w:tc>
          <w:tcPr>
            <w:tcW w:w="886"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RCVGov</w:t>
            </w:r>
          </w:p>
        </w:tc>
        <w:tc>
          <w:tcPr>
            <w:tcW w:w="887"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RCVGiv</w:t>
            </w:r>
          </w:p>
        </w:tc>
        <w:tc>
          <w:tcPr>
            <w:tcW w:w="1011"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RCVGTOX</w:t>
            </w:r>
          </w:p>
        </w:tc>
        <w:tc>
          <w:tcPr>
            <w:tcW w:w="878"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RCVGhea</w:t>
            </w:r>
          </w:p>
        </w:tc>
        <w:tc>
          <w:tcPr>
            <w:tcW w:w="876"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HCVGov</w:t>
            </w:r>
          </w:p>
        </w:tc>
        <w:tc>
          <w:tcPr>
            <w:tcW w:w="875"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HCVGiv</w:t>
            </w:r>
          </w:p>
        </w:tc>
        <w:tc>
          <w:tcPr>
            <w:tcW w:w="1021"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HCVGTOX</w:t>
            </w:r>
          </w:p>
        </w:tc>
        <w:tc>
          <w:tcPr>
            <w:tcW w:w="890"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HCVGhea</w:t>
            </w:r>
          </w:p>
        </w:tc>
        <w:tc>
          <w:tcPr>
            <w:tcW w:w="829"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CVGhea</w:t>
            </w:r>
          </w:p>
        </w:tc>
        <w:tc>
          <w:tcPr>
            <w:tcW w:w="921"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CVGMCL</w:t>
            </w:r>
          </w:p>
        </w:tc>
        <w:tc>
          <w:tcPr>
            <w:tcW w:w="846" w:type="dxa"/>
            <w:tcBorders>
              <w:top w:val="nil"/>
              <w:left w:val="nil"/>
              <w:bottom w:val="single" w:color="auto" w:sz="4" w:space="0"/>
              <w:right w:val="single" w:color="auto" w:sz="4" w:space="0"/>
            </w:tcBorders>
            <w:shd w:val="clear" w:color="000000" w:fill="CCFFCC"/>
            <w:noWrap/>
            <w:tcMar>
              <w:top w:w="15" w:type="dxa"/>
              <w:left w:w="15" w:type="dxa"/>
              <w:right w:w="15" w:type="dxa"/>
            </w:tcMar>
            <w:vAlign w:val="center"/>
          </w:tcPr>
          <w:p>
            <w:pPr>
              <w:pStyle w:val="10"/>
            </w:pPr>
            <w:r>
              <w:t>CVGenv</w:t>
            </w:r>
          </w:p>
        </w:tc>
        <w:tc>
          <w:tcPr>
            <w:tcW w:w="856" w:type="dxa"/>
            <w:tcBorders>
              <w:top w:val="nil"/>
              <w:left w:val="nil"/>
              <w:bottom w:val="single" w:color="auto" w:sz="4" w:space="0"/>
              <w:right w:val="single" w:color="auto" w:sz="12" w:space="0"/>
            </w:tcBorders>
            <w:shd w:val="clear" w:color="000000" w:fill="CCFFCC"/>
            <w:noWrap/>
            <w:tcMar>
              <w:top w:w="15" w:type="dxa"/>
              <w:left w:w="15" w:type="dxa"/>
              <w:right w:w="15" w:type="dxa"/>
            </w:tcMar>
            <w:vAlign w:val="center"/>
          </w:tcPr>
          <w:p>
            <w:pPr>
              <w:pStyle w:val="10"/>
            </w:pPr>
            <w:r>
              <w:t>CVGint</w:t>
            </w:r>
          </w:p>
        </w:tc>
      </w:tr>
      <w:tr>
        <w:tblPrEx>
          <w:tblLayout w:type="fixed"/>
          <w:tblCellMar>
            <w:top w:w="0" w:type="dxa"/>
            <w:left w:w="0" w:type="dxa"/>
            <w:bottom w:w="0" w:type="dxa"/>
            <w:right w:w="0" w:type="dxa"/>
          </w:tblCellMar>
        </w:tblPrEx>
        <w:trPr>
          <w:trHeight w:val="420" w:hRule="atLeast"/>
        </w:trPr>
        <w:tc>
          <w:tcPr>
            <w:tcW w:w="338" w:type="dxa"/>
            <w:tcBorders>
              <w:top w:val="single" w:color="auto" w:sz="12" w:space="0"/>
              <w:left w:val="single" w:color="auto" w:sz="12" w:space="0"/>
              <w:bottom w:val="single" w:color="auto" w:sz="4" w:space="0"/>
              <w:right w:val="single" w:color="auto" w:sz="4" w:space="0"/>
            </w:tcBorders>
            <w:shd w:val="clear" w:color="000000" w:fill="EEECE1"/>
            <w:noWrap/>
            <w:tcMar>
              <w:top w:w="15" w:type="dxa"/>
              <w:left w:w="15" w:type="dxa"/>
              <w:right w:w="15" w:type="dxa"/>
            </w:tcMar>
            <w:vAlign w:val="center"/>
          </w:tcPr>
          <w:p>
            <w:pPr>
              <w:pStyle w:val="10"/>
            </w:pPr>
            <w:r>
              <w:t>1</w:t>
            </w:r>
          </w:p>
        </w:tc>
        <w:tc>
          <w:tcPr>
            <w:tcW w:w="1276" w:type="dxa"/>
            <w:tcBorders>
              <w:top w:val="single" w:color="auto" w:sz="12" w:space="0"/>
              <w:left w:val="nil"/>
              <w:bottom w:val="single" w:color="auto" w:sz="4" w:space="0"/>
              <w:right w:val="single" w:color="auto" w:sz="4" w:space="0"/>
            </w:tcBorders>
            <w:shd w:val="clear" w:color="000000" w:fill="EEECE1"/>
            <w:noWrap/>
            <w:tcMar>
              <w:top w:w="15" w:type="dxa"/>
              <w:left w:w="15" w:type="dxa"/>
              <w:right w:w="15" w:type="dxa"/>
            </w:tcMar>
            <w:vAlign w:val="center"/>
          </w:tcPr>
          <w:p>
            <w:pPr>
              <w:pStyle w:val="10"/>
            </w:pPr>
            <w:r>
              <w:t>石油烃</w:t>
            </w:r>
            <w:r>
              <w:rPr>
                <w:rFonts w:hint="eastAsia"/>
              </w:rPr>
              <w:t>芳香烃</w:t>
            </w:r>
            <w:r>
              <w:t>（C10-C12）</w:t>
            </w:r>
          </w:p>
        </w:tc>
        <w:tc>
          <w:tcPr>
            <w:tcW w:w="884" w:type="dxa"/>
            <w:tcBorders>
              <w:top w:val="single" w:color="auto" w:sz="12" w:space="0"/>
              <w:left w:val="nil"/>
              <w:bottom w:val="single" w:color="auto" w:sz="4" w:space="0"/>
              <w:right w:val="single" w:color="auto" w:sz="4" w:space="0"/>
            </w:tcBorders>
            <w:shd w:val="clear" w:color="000000" w:fill="EEECE1"/>
            <w:noWrap/>
            <w:tcMar>
              <w:top w:w="15" w:type="dxa"/>
              <w:left w:w="15" w:type="dxa"/>
              <w:right w:w="15" w:type="dxa"/>
            </w:tcMar>
            <w:vAlign w:val="center"/>
          </w:tcPr>
          <w:p>
            <w:pPr>
              <w:pStyle w:val="10"/>
            </w:pPr>
            <w:r>
              <w:t>　</w:t>
            </w:r>
          </w:p>
        </w:tc>
        <w:tc>
          <w:tcPr>
            <w:tcW w:w="886" w:type="dxa"/>
            <w:tcBorders>
              <w:top w:val="single" w:color="auto" w:sz="12" w:space="0"/>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887" w:type="dxa"/>
            <w:tcBorders>
              <w:top w:val="single" w:color="auto" w:sz="12" w:space="0"/>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1011" w:type="dxa"/>
            <w:tcBorders>
              <w:top w:val="single" w:color="auto" w:sz="12" w:space="0"/>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78" w:type="dxa"/>
            <w:tcBorders>
              <w:top w:val="single" w:color="auto" w:sz="12" w:space="0"/>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876" w:type="dxa"/>
            <w:tcBorders>
              <w:top w:val="single" w:color="auto" w:sz="12" w:space="0"/>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1.05E+04</w:t>
            </w:r>
          </w:p>
        </w:tc>
        <w:tc>
          <w:tcPr>
            <w:tcW w:w="875" w:type="dxa"/>
            <w:tcBorders>
              <w:top w:val="single" w:color="auto" w:sz="12" w:space="0"/>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1.26E+01</w:t>
            </w:r>
          </w:p>
        </w:tc>
        <w:tc>
          <w:tcPr>
            <w:tcW w:w="1021" w:type="dxa"/>
            <w:tcBorders>
              <w:top w:val="single" w:color="auto" w:sz="12" w:space="0"/>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90" w:type="dxa"/>
            <w:tcBorders>
              <w:top w:val="single" w:color="auto" w:sz="12" w:space="0"/>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1.25E+01</w:t>
            </w:r>
          </w:p>
        </w:tc>
        <w:tc>
          <w:tcPr>
            <w:tcW w:w="829" w:type="dxa"/>
            <w:tcBorders>
              <w:top w:val="single" w:color="auto" w:sz="12" w:space="0"/>
              <w:left w:val="nil"/>
              <w:bottom w:val="single" w:color="auto" w:sz="4" w:space="0"/>
              <w:right w:val="single" w:color="auto" w:sz="4" w:space="0"/>
            </w:tcBorders>
            <w:shd w:val="clear" w:color="000000" w:fill="92D050"/>
            <w:noWrap/>
            <w:tcMar>
              <w:top w:w="15" w:type="dxa"/>
              <w:left w:w="15" w:type="dxa"/>
              <w:right w:w="15" w:type="dxa"/>
            </w:tcMar>
            <w:vAlign w:val="center"/>
          </w:tcPr>
          <w:p>
            <w:pPr>
              <w:pStyle w:val="10"/>
            </w:pPr>
            <w:r>
              <w:t>1.25E+01</w:t>
            </w:r>
          </w:p>
        </w:tc>
        <w:tc>
          <w:tcPr>
            <w:tcW w:w="921" w:type="dxa"/>
            <w:tcBorders>
              <w:top w:val="single" w:color="auto" w:sz="12" w:space="0"/>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46" w:type="dxa"/>
            <w:tcBorders>
              <w:top w:val="single" w:color="auto" w:sz="12" w:space="0"/>
              <w:left w:val="nil"/>
              <w:bottom w:val="single" w:color="auto" w:sz="4" w:space="0"/>
              <w:right w:val="single" w:color="auto" w:sz="4" w:space="0"/>
            </w:tcBorders>
            <w:shd w:val="clear" w:color="000000" w:fill="92D050"/>
            <w:noWrap/>
            <w:tcMar>
              <w:top w:w="15" w:type="dxa"/>
              <w:left w:w="15" w:type="dxa"/>
              <w:right w:w="15" w:type="dxa"/>
            </w:tcMar>
            <w:vAlign w:val="center"/>
          </w:tcPr>
          <w:p>
            <w:pPr>
              <w:pStyle w:val="10"/>
            </w:pPr>
            <w:r>
              <w:t>　</w:t>
            </w:r>
          </w:p>
        </w:tc>
        <w:tc>
          <w:tcPr>
            <w:tcW w:w="856" w:type="dxa"/>
            <w:tcBorders>
              <w:top w:val="single" w:color="auto" w:sz="12" w:space="0"/>
              <w:left w:val="nil"/>
              <w:bottom w:val="single" w:color="auto" w:sz="4" w:space="0"/>
              <w:right w:val="single" w:color="auto" w:sz="12" w:space="0"/>
            </w:tcBorders>
            <w:shd w:val="clear" w:color="000000" w:fill="92D050"/>
            <w:noWrap/>
            <w:tcMar>
              <w:top w:w="15" w:type="dxa"/>
              <w:left w:w="15" w:type="dxa"/>
              <w:right w:w="15" w:type="dxa"/>
            </w:tcMar>
            <w:vAlign w:val="center"/>
          </w:tcPr>
          <w:p>
            <w:pPr>
              <w:pStyle w:val="10"/>
            </w:pPr>
            <w:r>
              <w:t>1.25E+01</w:t>
            </w:r>
          </w:p>
        </w:tc>
      </w:tr>
      <w:tr>
        <w:tblPrEx>
          <w:tblLayout w:type="fixed"/>
          <w:tblCellMar>
            <w:top w:w="0" w:type="dxa"/>
            <w:left w:w="0" w:type="dxa"/>
            <w:bottom w:w="0" w:type="dxa"/>
            <w:right w:w="0" w:type="dxa"/>
          </w:tblCellMar>
        </w:tblPrEx>
        <w:trPr>
          <w:trHeight w:val="420" w:hRule="atLeast"/>
        </w:trPr>
        <w:tc>
          <w:tcPr>
            <w:tcW w:w="338" w:type="dxa"/>
            <w:tcBorders>
              <w:top w:val="nil"/>
              <w:left w:val="single" w:color="auto" w:sz="12" w:space="0"/>
              <w:bottom w:val="single" w:color="auto" w:sz="4" w:space="0"/>
              <w:right w:val="single" w:color="auto" w:sz="4" w:space="0"/>
            </w:tcBorders>
            <w:shd w:val="clear" w:color="000000" w:fill="EEECE1"/>
            <w:noWrap/>
            <w:tcMar>
              <w:top w:w="15" w:type="dxa"/>
              <w:left w:w="15" w:type="dxa"/>
              <w:right w:w="15" w:type="dxa"/>
            </w:tcMar>
            <w:vAlign w:val="center"/>
          </w:tcPr>
          <w:p>
            <w:pPr>
              <w:pStyle w:val="10"/>
            </w:pPr>
            <w:r>
              <w:t>2</w:t>
            </w:r>
          </w:p>
        </w:tc>
        <w:tc>
          <w:tcPr>
            <w:tcW w:w="1276" w:type="dxa"/>
            <w:tcBorders>
              <w:top w:val="nil"/>
              <w:left w:val="nil"/>
              <w:bottom w:val="single" w:color="auto" w:sz="4" w:space="0"/>
              <w:right w:val="single" w:color="auto" w:sz="4" w:space="0"/>
            </w:tcBorders>
            <w:shd w:val="clear" w:color="000000" w:fill="EEECE1"/>
            <w:noWrap/>
            <w:tcMar>
              <w:top w:w="15" w:type="dxa"/>
              <w:left w:w="15" w:type="dxa"/>
              <w:right w:w="15" w:type="dxa"/>
            </w:tcMar>
            <w:vAlign w:val="center"/>
          </w:tcPr>
          <w:p>
            <w:pPr>
              <w:pStyle w:val="10"/>
            </w:pPr>
            <w:r>
              <w:t>石油烃</w:t>
            </w:r>
            <w:r>
              <w:rPr>
                <w:rFonts w:hint="eastAsia"/>
              </w:rPr>
              <w:t>芳香烃</w:t>
            </w:r>
            <w:r>
              <w:t>（C12-C16）</w:t>
            </w:r>
          </w:p>
        </w:tc>
        <w:tc>
          <w:tcPr>
            <w:tcW w:w="884" w:type="dxa"/>
            <w:tcBorders>
              <w:top w:val="nil"/>
              <w:left w:val="nil"/>
              <w:bottom w:val="single" w:color="auto" w:sz="4" w:space="0"/>
              <w:right w:val="single" w:color="auto" w:sz="4" w:space="0"/>
            </w:tcBorders>
            <w:shd w:val="clear" w:color="000000" w:fill="EEECE1"/>
            <w:noWrap/>
            <w:tcMar>
              <w:top w:w="15" w:type="dxa"/>
              <w:left w:w="15" w:type="dxa"/>
              <w:right w:w="15" w:type="dxa"/>
            </w:tcMar>
            <w:vAlign w:val="center"/>
          </w:tcPr>
          <w:p>
            <w:pPr>
              <w:pStyle w:val="10"/>
            </w:pPr>
            <w:r>
              <w:t>　</w:t>
            </w:r>
          </w:p>
        </w:tc>
        <w:tc>
          <w:tcPr>
            <w:tcW w:w="886"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887"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1011"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78"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876"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2.51E+03</w:t>
            </w:r>
          </w:p>
        </w:tc>
        <w:tc>
          <w:tcPr>
            <w:tcW w:w="875"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2.99E+00</w:t>
            </w:r>
          </w:p>
        </w:tc>
        <w:tc>
          <w:tcPr>
            <w:tcW w:w="1021"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90"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2.98E+00</w:t>
            </w:r>
          </w:p>
        </w:tc>
        <w:tc>
          <w:tcPr>
            <w:tcW w:w="829" w:type="dxa"/>
            <w:tcBorders>
              <w:top w:val="nil"/>
              <w:left w:val="nil"/>
              <w:bottom w:val="single" w:color="auto" w:sz="4" w:space="0"/>
              <w:right w:val="single" w:color="auto" w:sz="4" w:space="0"/>
            </w:tcBorders>
            <w:shd w:val="clear" w:color="000000" w:fill="92D050"/>
            <w:noWrap/>
            <w:tcMar>
              <w:top w:w="15" w:type="dxa"/>
              <w:left w:w="15" w:type="dxa"/>
              <w:right w:w="15" w:type="dxa"/>
            </w:tcMar>
            <w:vAlign w:val="center"/>
          </w:tcPr>
          <w:p>
            <w:pPr>
              <w:pStyle w:val="10"/>
            </w:pPr>
            <w:r>
              <w:t>2.98E+00</w:t>
            </w:r>
          </w:p>
        </w:tc>
        <w:tc>
          <w:tcPr>
            <w:tcW w:w="921"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46" w:type="dxa"/>
            <w:tcBorders>
              <w:top w:val="nil"/>
              <w:left w:val="nil"/>
              <w:bottom w:val="single" w:color="auto" w:sz="4" w:space="0"/>
              <w:right w:val="single" w:color="auto" w:sz="4" w:space="0"/>
            </w:tcBorders>
            <w:shd w:val="clear" w:color="000000" w:fill="92D050"/>
            <w:noWrap/>
            <w:tcMar>
              <w:top w:w="15" w:type="dxa"/>
              <w:left w:w="15" w:type="dxa"/>
              <w:right w:w="15" w:type="dxa"/>
            </w:tcMar>
            <w:vAlign w:val="center"/>
          </w:tcPr>
          <w:p>
            <w:pPr>
              <w:pStyle w:val="10"/>
            </w:pPr>
            <w:r>
              <w:t>　</w:t>
            </w:r>
          </w:p>
        </w:tc>
        <w:tc>
          <w:tcPr>
            <w:tcW w:w="856" w:type="dxa"/>
            <w:tcBorders>
              <w:top w:val="nil"/>
              <w:left w:val="nil"/>
              <w:bottom w:val="single" w:color="auto" w:sz="4" w:space="0"/>
              <w:right w:val="single" w:color="auto" w:sz="12" w:space="0"/>
            </w:tcBorders>
            <w:shd w:val="clear" w:color="000000" w:fill="92D050"/>
            <w:noWrap/>
            <w:tcMar>
              <w:top w:w="15" w:type="dxa"/>
              <w:left w:w="15" w:type="dxa"/>
              <w:right w:w="15" w:type="dxa"/>
            </w:tcMar>
            <w:vAlign w:val="center"/>
          </w:tcPr>
          <w:p>
            <w:pPr>
              <w:pStyle w:val="10"/>
            </w:pPr>
            <w:r>
              <w:t>2.98E+00</w:t>
            </w:r>
          </w:p>
        </w:tc>
      </w:tr>
      <w:tr>
        <w:tblPrEx>
          <w:tblLayout w:type="fixed"/>
          <w:tblCellMar>
            <w:top w:w="0" w:type="dxa"/>
            <w:left w:w="0" w:type="dxa"/>
            <w:bottom w:w="0" w:type="dxa"/>
            <w:right w:w="0" w:type="dxa"/>
          </w:tblCellMar>
        </w:tblPrEx>
        <w:trPr>
          <w:trHeight w:val="420" w:hRule="atLeast"/>
        </w:trPr>
        <w:tc>
          <w:tcPr>
            <w:tcW w:w="338" w:type="dxa"/>
            <w:tcBorders>
              <w:top w:val="nil"/>
              <w:left w:val="single" w:color="auto" w:sz="12" w:space="0"/>
              <w:bottom w:val="single" w:color="auto" w:sz="4" w:space="0"/>
              <w:right w:val="single" w:color="auto" w:sz="4" w:space="0"/>
            </w:tcBorders>
            <w:shd w:val="clear" w:color="000000" w:fill="EEECE1"/>
            <w:noWrap/>
            <w:tcMar>
              <w:top w:w="15" w:type="dxa"/>
              <w:left w:w="15" w:type="dxa"/>
              <w:right w:w="15" w:type="dxa"/>
            </w:tcMar>
            <w:vAlign w:val="center"/>
          </w:tcPr>
          <w:p>
            <w:pPr>
              <w:pStyle w:val="10"/>
            </w:pPr>
            <w:r>
              <w:t>3</w:t>
            </w:r>
          </w:p>
        </w:tc>
        <w:tc>
          <w:tcPr>
            <w:tcW w:w="1276" w:type="dxa"/>
            <w:tcBorders>
              <w:top w:val="nil"/>
              <w:left w:val="nil"/>
              <w:bottom w:val="single" w:color="auto" w:sz="4" w:space="0"/>
              <w:right w:val="single" w:color="auto" w:sz="4" w:space="0"/>
            </w:tcBorders>
            <w:shd w:val="clear" w:color="000000" w:fill="EEECE1"/>
            <w:noWrap/>
            <w:tcMar>
              <w:top w:w="15" w:type="dxa"/>
              <w:left w:w="15" w:type="dxa"/>
              <w:right w:w="15" w:type="dxa"/>
            </w:tcMar>
            <w:vAlign w:val="center"/>
          </w:tcPr>
          <w:p>
            <w:pPr>
              <w:pStyle w:val="10"/>
            </w:pPr>
            <w:r>
              <w:t>石油烃</w:t>
            </w:r>
            <w:r>
              <w:rPr>
                <w:rFonts w:hint="eastAsia"/>
              </w:rPr>
              <w:t>脂肪烃</w:t>
            </w:r>
            <w:r>
              <w:t>（C10-C12）</w:t>
            </w:r>
          </w:p>
        </w:tc>
        <w:tc>
          <w:tcPr>
            <w:tcW w:w="884" w:type="dxa"/>
            <w:tcBorders>
              <w:top w:val="nil"/>
              <w:left w:val="nil"/>
              <w:bottom w:val="single" w:color="auto" w:sz="4" w:space="0"/>
              <w:right w:val="single" w:color="auto" w:sz="4" w:space="0"/>
            </w:tcBorders>
            <w:shd w:val="clear" w:color="000000" w:fill="EEECE1"/>
            <w:noWrap/>
            <w:tcMar>
              <w:top w:w="15" w:type="dxa"/>
              <w:left w:w="15" w:type="dxa"/>
              <w:right w:w="15" w:type="dxa"/>
            </w:tcMar>
            <w:vAlign w:val="center"/>
          </w:tcPr>
          <w:p>
            <w:pPr>
              <w:pStyle w:val="10"/>
            </w:pPr>
            <w:r>
              <w:t>　</w:t>
            </w:r>
          </w:p>
        </w:tc>
        <w:tc>
          <w:tcPr>
            <w:tcW w:w="886"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887"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1011"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78"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876"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1.04E+05</w:t>
            </w:r>
          </w:p>
        </w:tc>
        <w:tc>
          <w:tcPr>
            <w:tcW w:w="875"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2.83E+02</w:t>
            </w:r>
          </w:p>
        </w:tc>
        <w:tc>
          <w:tcPr>
            <w:tcW w:w="1021"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90"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2.82E+02</w:t>
            </w:r>
          </w:p>
        </w:tc>
        <w:tc>
          <w:tcPr>
            <w:tcW w:w="829" w:type="dxa"/>
            <w:tcBorders>
              <w:top w:val="nil"/>
              <w:left w:val="nil"/>
              <w:bottom w:val="single" w:color="auto" w:sz="4" w:space="0"/>
              <w:right w:val="single" w:color="auto" w:sz="4" w:space="0"/>
            </w:tcBorders>
            <w:shd w:val="clear" w:color="000000" w:fill="92D050"/>
            <w:noWrap/>
            <w:tcMar>
              <w:top w:w="15" w:type="dxa"/>
              <w:left w:w="15" w:type="dxa"/>
              <w:right w:w="15" w:type="dxa"/>
            </w:tcMar>
            <w:vAlign w:val="center"/>
          </w:tcPr>
          <w:p>
            <w:pPr>
              <w:pStyle w:val="10"/>
            </w:pPr>
            <w:r>
              <w:t>2.82E+02</w:t>
            </w:r>
          </w:p>
        </w:tc>
        <w:tc>
          <w:tcPr>
            <w:tcW w:w="921"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46" w:type="dxa"/>
            <w:tcBorders>
              <w:top w:val="nil"/>
              <w:left w:val="nil"/>
              <w:bottom w:val="single" w:color="auto" w:sz="4" w:space="0"/>
              <w:right w:val="single" w:color="auto" w:sz="4" w:space="0"/>
            </w:tcBorders>
            <w:shd w:val="clear" w:color="000000" w:fill="92D050"/>
            <w:noWrap/>
            <w:tcMar>
              <w:top w:w="15" w:type="dxa"/>
              <w:left w:w="15" w:type="dxa"/>
              <w:right w:w="15" w:type="dxa"/>
            </w:tcMar>
            <w:vAlign w:val="center"/>
          </w:tcPr>
          <w:p>
            <w:pPr>
              <w:pStyle w:val="10"/>
            </w:pPr>
            <w:r>
              <w:t>　</w:t>
            </w:r>
          </w:p>
        </w:tc>
        <w:tc>
          <w:tcPr>
            <w:tcW w:w="856" w:type="dxa"/>
            <w:tcBorders>
              <w:top w:val="nil"/>
              <w:left w:val="nil"/>
              <w:bottom w:val="single" w:color="auto" w:sz="4" w:space="0"/>
              <w:right w:val="single" w:color="auto" w:sz="12" w:space="0"/>
            </w:tcBorders>
            <w:shd w:val="clear" w:color="000000" w:fill="92D050"/>
            <w:noWrap/>
            <w:tcMar>
              <w:top w:w="15" w:type="dxa"/>
              <w:left w:w="15" w:type="dxa"/>
              <w:right w:w="15" w:type="dxa"/>
            </w:tcMar>
            <w:vAlign w:val="center"/>
          </w:tcPr>
          <w:p>
            <w:pPr>
              <w:pStyle w:val="10"/>
            </w:pPr>
            <w:r>
              <w:t>2.82E+02</w:t>
            </w:r>
          </w:p>
        </w:tc>
      </w:tr>
      <w:tr>
        <w:tblPrEx>
          <w:tblLayout w:type="fixed"/>
          <w:tblCellMar>
            <w:top w:w="0" w:type="dxa"/>
            <w:left w:w="0" w:type="dxa"/>
            <w:bottom w:w="0" w:type="dxa"/>
            <w:right w:w="0" w:type="dxa"/>
          </w:tblCellMar>
        </w:tblPrEx>
        <w:trPr>
          <w:trHeight w:val="420" w:hRule="atLeast"/>
        </w:trPr>
        <w:tc>
          <w:tcPr>
            <w:tcW w:w="338" w:type="dxa"/>
            <w:tcBorders>
              <w:top w:val="nil"/>
              <w:left w:val="single" w:color="auto" w:sz="12" w:space="0"/>
              <w:bottom w:val="single" w:color="auto" w:sz="4" w:space="0"/>
              <w:right w:val="single" w:color="auto" w:sz="4" w:space="0"/>
            </w:tcBorders>
            <w:shd w:val="clear" w:color="000000" w:fill="EEECE1"/>
            <w:noWrap/>
            <w:tcMar>
              <w:top w:w="15" w:type="dxa"/>
              <w:left w:w="15" w:type="dxa"/>
              <w:right w:w="15" w:type="dxa"/>
            </w:tcMar>
            <w:vAlign w:val="center"/>
          </w:tcPr>
          <w:p>
            <w:pPr>
              <w:pStyle w:val="10"/>
            </w:pPr>
            <w:r>
              <w:t>4</w:t>
            </w:r>
          </w:p>
        </w:tc>
        <w:tc>
          <w:tcPr>
            <w:tcW w:w="1276" w:type="dxa"/>
            <w:tcBorders>
              <w:top w:val="nil"/>
              <w:left w:val="nil"/>
              <w:bottom w:val="single" w:color="auto" w:sz="4" w:space="0"/>
              <w:right w:val="single" w:color="auto" w:sz="4" w:space="0"/>
            </w:tcBorders>
            <w:shd w:val="clear" w:color="000000" w:fill="EEECE1"/>
            <w:noWrap/>
            <w:tcMar>
              <w:top w:w="15" w:type="dxa"/>
              <w:left w:w="15" w:type="dxa"/>
              <w:right w:w="15" w:type="dxa"/>
            </w:tcMar>
            <w:vAlign w:val="center"/>
          </w:tcPr>
          <w:p>
            <w:pPr>
              <w:pStyle w:val="10"/>
            </w:pPr>
            <w:r>
              <w:t>石油烃</w:t>
            </w:r>
            <w:r>
              <w:rPr>
                <w:rFonts w:hint="eastAsia"/>
              </w:rPr>
              <w:t>脂肪烃</w:t>
            </w:r>
            <w:r>
              <w:t>（C12-C16）</w:t>
            </w:r>
          </w:p>
        </w:tc>
        <w:tc>
          <w:tcPr>
            <w:tcW w:w="884" w:type="dxa"/>
            <w:tcBorders>
              <w:top w:val="nil"/>
              <w:left w:val="nil"/>
              <w:bottom w:val="single" w:color="auto" w:sz="4" w:space="0"/>
              <w:right w:val="single" w:color="auto" w:sz="4" w:space="0"/>
            </w:tcBorders>
            <w:shd w:val="clear" w:color="000000" w:fill="EEECE1"/>
            <w:noWrap/>
            <w:tcMar>
              <w:top w:w="15" w:type="dxa"/>
              <w:left w:w="15" w:type="dxa"/>
              <w:right w:w="15" w:type="dxa"/>
            </w:tcMar>
            <w:vAlign w:val="center"/>
          </w:tcPr>
          <w:p>
            <w:pPr>
              <w:pStyle w:val="10"/>
            </w:pPr>
            <w:r>
              <w:t>　</w:t>
            </w:r>
          </w:p>
        </w:tc>
        <w:tc>
          <w:tcPr>
            <w:tcW w:w="886"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887"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1011"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78"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w:t>
            </w:r>
          </w:p>
        </w:tc>
        <w:tc>
          <w:tcPr>
            <w:tcW w:w="876"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1.07E+05</w:t>
            </w:r>
          </w:p>
        </w:tc>
        <w:tc>
          <w:tcPr>
            <w:tcW w:w="875"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5.54E+02</w:t>
            </w:r>
          </w:p>
        </w:tc>
        <w:tc>
          <w:tcPr>
            <w:tcW w:w="1021"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90"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5.52E+02</w:t>
            </w:r>
          </w:p>
        </w:tc>
        <w:tc>
          <w:tcPr>
            <w:tcW w:w="829" w:type="dxa"/>
            <w:tcBorders>
              <w:top w:val="nil"/>
              <w:left w:val="nil"/>
              <w:bottom w:val="single" w:color="auto" w:sz="4" w:space="0"/>
              <w:right w:val="single" w:color="auto" w:sz="4" w:space="0"/>
            </w:tcBorders>
            <w:shd w:val="clear" w:color="000000" w:fill="92D050"/>
            <w:noWrap/>
            <w:tcMar>
              <w:top w:w="15" w:type="dxa"/>
              <w:left w:w="15" w:type="dxa"/>
              <w:right w:w="15" w:type="dxa"/>
            </w:tcMar>
            <w:vAlign w:val="center"/>
          </w:tcPr>
          <w:p>
            <w:pPr>
              <w:pStyle w:val="10"/>
            </w:pPr>
            <w:r>
              <w:t>5.52E+02</w:t>
            </w:r>
          </w:p>
        </w:tc>
        <w:tc>
          <w:tcPr>
            <w:tcW w:w="921" w:type="dxa"/>
            <w:tcBorders>
              <w:top w:val="nil"/>
              <w:left w:val="nil"/>
              <w:bottom w:val="single" w:color="auto" w:sz="4" w:space="0"/>
              <w:right w:val="single" w:color="auto" w:sz="4" w:space="0"/>
            </w:tcBorders>
            <w:shd w:val="clear" w:color="000000" w:fill="FFFF99"/>
            <w:noWrap/>
            <w:tcMar>
              <w:top w:w="15" w:type="dxa"/>
              <w:left w:w="15" w:type="dxa"/>
              <w:right w:w="15" w:type="dxa"/>
            </w:tcMar>
            <w:vAlign w:val="center"/>
          </w:tcPr>
          <w:p>
            <w:pPr>
              <w:pStyle w:val="10"/>
            </w:pPr>
            <w:r>
              <w:t>　</w:t>
            </w:r>
          </w:p>
        </w:tc>
        <w:tc>
          <w:tcPr>
            <w:tcW w:w="846" w:type="dxa"/>
            <w:tcBorders>
              <w:top w:val="nil"/>
              <w:left w:val="nil"/>
              <w:bottom w:val="single" w:color="auto" w:sz="4" w:space="0"/>
              <w:right w:val="single" w:color="auto" w:sz="4" w:space="0"/>
            </w:tcBorders>
            <w:shd w:val="clear" w:color="000000" w:fill="92D050"/>
            <w:noWrap/>
            <w:tcMar>
              <w:top w:w="15" w:type="dxa"/>
              <w:left w:w="15" w:type="dxa"/>
              <w:right w:w="15" w:type="dxa"/>
            </w:tcMar>
            <w:vAlign w:val="center"/>
          </w:tcPr>
          <w:p>
            <w:pPr>
              <w:pStyle w:val="10"/>
            </w:pPr>
            <w:r>
              <w:t>　</w:t>
            </w:r>
          </w:p>
        </w:tc>
        <w:tc>
          <w:tcPr>
            <w:tcW w:w="856" w:type="dxa"/>
            <w:tcBorders>
              <w:top w:val="nil"/>
              <w:left w:val="nil"/>
              <w:bottom w:val="single" w:color="auto" w:sz="4" w:space="0"/>
              <w:right w:val="single" w:color="auto" w:sz="12" w:space="0"/>
            </w:tcBorders>
            <w:shd w:val="clear" w:color="000000" w:fill="92D050"/>
            <w:noWrap/>
            <w:tcMar>
              <w:top w:w="15" w:type="dxa"/>
              <w:left w:w="15" w:type="dxa"/>
              <w:right w:w="15" w:type="dxa"/>
            </w:tcMar>
            <w:vAlign w:val="center"/>
          </w:tcPr>
          <w:p>
            <w:pPr>
              <w:pStyle w:val="10"/>
            </w:pPr>
            <w:r>
              <w:t>5.52E+02</w:t>
            </w:r>
          </w:p>
        </w:tc>
      </w:tr>
      <w:tr>
        <w:tblPrEx>
          <w:tblLayout w:type="fixed"/>
          <w:tblCellMar>
            <w:top w:w="0" w:type="dxa"/>
            <w:left w:w="0" w:type="dxa"/>
            <w:bottom w:w="0" w:type="dxa"/>
            <w:right w:w="0" w:type="dxa"/>
          </w:tblCellMar>
        </w:tblPrEx>
        <w:trPr>
          <w:trHeight w:val="420" w:hRule="atLeast"/>
        </w:trPr>
        <w:tc>
          <w:tcPr>
            <w:tcW w:w="338" w:type="dxa"/>
            <w:tcBorders>
              <w:top w:val="nil"/>
              <w:left w:val="single" w:color="auto" w:sz="12" w:space="0"/>
              <w:bottom w:val="single" w:color="auto" w:sz="12" w:space="0"/>
              <w:right w:val="single" w:color="auto" w:sz="4" w:space="0"/>
            </w:tcBorders>
            <w:shd w:val="clear" w:color="000000" w:fill="EEECE1"/>
            <w:noWrap/>
            <w:tcMar>
              <w:top w:w="15" w:type="dxa"/>
              <w:left w:w="15" w:type="dxa"/>
              <w:right w:w="15" w:type="dxa"/>
            </w:tcMar>
            <w:vAlign w:val="center"/>
          </w:tcPr>
          <w:p>
            <w:pPr>
              <w:pStyle w:val="10"/>
            </w:pPr>
            <w:r>
              <w:t>5</w:t>
            </w:r>
          </w:p>
        </w:tc>
        <w:tc>
          <w:tcPr>
            <w:tcW w:w="1276" w:type="dxa"/>
            <w:tcBorders>
              <w:top w:val="nil"/>
              <w:left w:val="nil"/>
              <w:bottom w:val="single" w:color="auto" w:sz="12" w:space="0"/>
              <w:right w:val="single" w:color="auto" w:sz="4" w:space="0"/>
            </w:tcBorders>
            <w:shd w:val="clear" w:color="000000" w:fill="EEECE1"/>
            <w:noWrap/>
            <w:tcMar>
              <w:top w:w="15" w:type="dxa"/>
              <w:left w:w="15" w:type="dxa"/>
              <w:right w:w="15" w:type="dxa"/>
            </w:tcMar>
            <w:vAlign w:val="center"/>
          </w:tcPr>
          <w:p>
            <w:pPr>
              <w:pStyle w:val="10"/>
            </w:pPr>
            <w:r>
              <w:t>石油烃（C10-C40）</w:t>
            </w:r>
          </w:p>
        </w:tc>
        <w:tc>
          <w:tcPr>
            <w:tcW w:w="884" w:type="dxa"/>
            <w:tcBorders>
              <w:top w:val="nil"/>
              <w:left w:val="nil"/>
              <w:bottom w:val="single" w:color="auto" w:sz="12" w:space="0"/>
              <w:right w:val="single" w:color="auto" w:sz="4" w:space="0"/>
            </w:tcBorders>
            <w:shd w:val="clear" w:color="000000" w:fill="EEECE1"/>
            <w:noWrap/>
            <w:tcMar>
              <w:top w:w="15" w:type="dxa"/>
              <w:left w:w="15" w:type="dxa"/>
              <w:right w:w="15" w:type="dxa"/>
            </w:tcMar>
            <w:vAlign w:val="center"/>
          </w:tcPr>
          <w:p>
            <w:pPr>
              <w:pStyle w:val="10"/>
            </w:pPr>
            <w:r>
              <w:t>　</w:t>
            </w:r>
          </w:p>
        </w:tc>
        <w:tc>
          <w:tcPr>
            <w:tcW w:w="886" w:type="dxa"/>
            <w:tcBorders>
              <w:top w:val="nil"/>
              <w:left w:val="nil"/>
              <w:bottom w:val="single" w:color="auto" w:sz="12" w:space="0"/>
              <w:right w:val="single" w:color="auto" w:sz="4" w:space="0"/>
            </w:tcBorders>
            <w:shd w:val="clear" w:color="000000" w:fill="FFFF99"/>
            <w:noWrap/>
            <w:tcMar>
              <w:top w:w="15" w:type="dxa"/>
              <w:left w:w="15" w:type="dxa"/>
              <w:right w:w="15" w:type="dxa"/>
            </w:tcMar>
            <w:vAlign w:val="center"/>
          </w:tcPr>
          <w:p>
            <w:pPr>
              <w:pStyle w:val="10"/>
            </w:pPr>
            <w:r>
              <w:t>0.00E+00</w:t>
            </w:r>
          </w:p>
        </w:tc>
        <w:tc>
          <w:tcPr>
            <w:tcW w:w="887" w:type="dxa"/>
            <w:tcBorders>
              <w:top w:val="nil"/>
              <w:left w:val="nil"/>
              <w:bottom w:val="single" w:color="auto" w:sz="12" w:space="0"/>
              <w:right w:val="single" w:color="auto" w:sz="4" w:space="0"/>
            </w:tcBorders>
            <w:shd w:val="clear" w:color="000000" w:fill="FFFF99"/>
            <w:noWrap/>
            <w:tcMar>
              <w:top w:w="15" w:type="dxa"/>
              <w:left w:w="15" w:type="dxa"/>
              <w:right w:w="15" w:type="dxa"/>
            </w:tcMar>
            <w:vAlign w:val="center"/>
          </w:tcPr>
          <w:p>
            <w:pPr>
              <w:pStyle w:val="10"/>
            </w:pPr>
            <w:r>
              <w:t>0.00E+00</w:t>
            </w:r>
          </w:p>
        </w:tc>
        <w:tc>
          <w:tcPr>
            <w:tcW w:w="1011" w:type="dxa"/>
            <w:tcBorders>
              <w:top w:val="nil"/>
              <w:left w:val="nil"/>
              <w:bottom w:val="single" w:color="auto" w:sz="12" w:space="0"/>
              <w:right w:val="single" w:color="auto" w:sz="4" w:space="0"/>
            </w:tcBorders>
            <w:shd w:val="clear" w:color="000000" w:fill="FFFF99"/>
            <w:noWrap/>
            <w:tcMar>
              <w:top w:w="15" w:type="dxa"/>
              <w:left w:w="15" w:type="dxa"/>
              <w:right w:w="15" w:type="dxa"/>
            </w:tcMar>
            <w:vAlign w:val="center"/>
          </w:tcPr>
          <w:p>
            <w:pPr>
              <w:pStyle w:val="10"/>
            </w:pPr>
            <w:r>
              <w:t>　</w:t>
            </w:r>
          </w:p>
        </w:tc>
        <w:tc>
          <w:tcPr>
            <w:tcW w:w="878" w:type="dxa"/>
            <w:tcBorders>
              <w:top w:val="nil"/>
              <w:left w:val="nil"/>
              <w:bottom w:val="single" w:color="auto" w:sz="12" w:space="0"/>
              <w:right w:val="single" w:color="auto" w:sz="4" w:space="0"/>
            </w:tcBorders>
            <w:shd w:val="clear" w:color="000000" w:fill="FFFF99"/>
            <w:noWrap/>
            <w:tcMar>
              <w:top w:w="15" w:type="dxa"/>
              <w:left w:w="15" w:type="dxa"/>
              <w:right w:w="15" w:type="dxa"/>
            </w:tcMar>
            <w:vAlign w:val="center"/>
          </w:tcPr>
          <w:p>
            <w:pPr>
              <w:pStyle w:val="10"/>
            </w:pPr>
            <w:r>
              <w:t>-</w:t>
            </w:r>
          </w:p>
        </w:tc>
        <w:tc>
          <w:tcPr>
            <w:tcW w:w="876" w:type="dxa"/>
            <w:tcBorders>
              <w:top w:val="nil"/>
              <w:left w:val="nil"/>
              <w:bottom w:val="single" w:color="auto" w:sz="12" w:space="0"/>
              <w:right w:val="single" w:color="auto" w:sz="4" w:space="0"/>
            </w:tcBorders>
            <w:shd w:val="clear" w:color="000000" w:fill="FFFF99"/>
            <w:noWrap/>
            <w:tcMar>
              <w:top w:w="15" w:type="dxa"/>
              <w:left w:w="15" w:type="dxa"/>
              <w:right w:w="15" w:type="dxa"/>
            </w:tcMar>
            <w:vAlign w:val="center"/>
          </w:tcPr>
          <w:p>
            <w:pPr>
              <w:pStyle w:val="10"/>
            </w:pPr>
            <w:r>
              <w:t>0.00E+00</w:t>
            </w:r>
          </w:p>
        </w:tc>
        <w:tc>
          <w:tcPr>
            <w:tcW w:w="875" w:type="dxa"/>
            <w:tcBorders>
              <w:top w:val="nil"/>
              <w:left w:val="nil"/>
              <w:bottom w:val="single" w:color="auto" w:sz="12" w:space="0"/>
              <w:right w:val="single" w:color="auto" w:sz="4" w:space="0"/>
            </w:tcBorders>
            <w:shd w:val="clear" w:color="000000" w:fill="FFFF99"/>
            <w:noWrap/>
            <w:tcMar>
              <w:top w:w="15" w:type="dxa"/>
              <w:left w:w="15" w:type="dxa"/>
              <w:right w:w="15" w:type="dxa"/>
            </w:tcMar>
            <w:vAlign w:val="center"/>
          </w:tcPr>
          <w:p>
            <w:pPr>
              <w:pStyle w:val="10"/>
            </w:pPr>
            <w:r>
              <w:t>0.00E+00</w:t>
            </w:r>
          </w:p>
        </w:tc>
        <w:tc>
          <w:tcPr>
            <w:tcW w:w="1021" w:type="dxa"/>
            <w:tcBorders>
              <w:top w:val="nil"/>
              <w:left w:val="nil"/>
              <w:bottom w:val="single" w:color="auto" w:sz="12" w:space="0"/>
              <w:right w:val="single" w:color="auto" w:sz="4" w:space="0"/>
            </w:tcBorders>
            <w:shd w:val="clear" w:color="000000" w:fill="FFFF99"/>
            <w:noWrap/>
            <w:tcMar>
              <w:top w:w="15" w:type="dxa"/>
              <w:left w:w="15" w:type="dxa"/>
              <w:right w:w="15" w:type="dxa"/>
            </w:tcMar>
            <w:vAlign w:val="center"/>
          </w:tcPr>
          <w:p>
            <w:pPr>
              <w:pStyle w:val="10"/>
            </w:pPr>
            <w:r>
              <w:t>　</w:t>
            </w:r>
          </w:p>
        </w:tc>
        <w:tc>
          <w:tcPr>
            <w:tcW w:w="890" w:type="dxa"/>
            <w:tcBorders>
              <w:top w:val="nil"/>
              <w:left w:val="nil"/>
              <w:bottom w:val="single" w:color="auto" w:sz="12" w:space="0"/>
              <w:right w:val="single" w:color="auto" w:sz="4" w:space="0"/>
            </w:tcBorders>
            <w:shd w:val="clear" w:color="000000" w:fill="FFFF99"/>
            <w:noWrap/>
            <w:tcMar>
              <w:top w:w="15" w:type="dxa"/>
              <w:left w:w="15" w:type="dxa"/>
              <w:right w:w="15" w:type="dxa"/>
            </w:tcMar>
            <w:vAlign w:val="center"/>
          </w:tcPr>
          <w:p>
            <w:pPr>
              <w:pStyle w:val="10"/>
            </w:pPr>
            <w:r>
              <w:t>-</w:t>
            </w:r>
          </w:p>
        </w:tc>
        <w:tc>
          <w:tcPr>
            <w:tcW w:w="829" w:type="dxa"/>
            <w:tcBorders>
              <w:top w:val="nil"/>
              <w:left w:val="nil"/>
              <w:bottom w:val="single" w:color="auto" w:sz="12" w:space="0"/>
              <w:right w:val="single" w:color="auto" w:sz="4" w:space="0"/>
            </w:tcBorders>
            <w:shd w:val="clear" w:color="000000" w:fill="92D050"/>
            <w:noWrap/>
            <w:tcMar>
              <w:top w:w="15" w:type="dxa"/>
              <w:left w:w="15" w:type="dxa"/>
              <w:right w:w="15" w:type="dxa"/>
            </w:tcMar>
            <w:vAlign w:val="center"/>
          </w:tcPr>
          <w:p>
            <w:pPr>
              <w:pStyle w:val="10"/>
            </w:pPr>
            <w:r>
              <w:t>-</w:t>
            </w:r>
          </w:p>
        </w:tc>
        <w:tc>
          <w:tcPr>
            <w:tcW w:w="921" w:type="dxa"/>
            <w:tcBorders>
              <w:top w:val="nil"/>
              <w:left w:val="nil"/>
              <w:bottom w:val="single" w:color="auto" w:sz="12" w:space="0"/>
              <w:right w:val="single" w:color="auto" w:sz="4" w:space="0"/>
            </w:tcBorders>
            <w:shd w:val="clear" w:color="000000" w:fill="FFFF99"/>
            <w:noWrap/>
            <w:tcMar>
              <w:top w:w="15" w:type="dxa"/>
              <w:left w:w="15" w:type="dxa"/>
              <w:right w:w="15" w:type="dxa"/>
            </w:tcMar>
            <w:vAlign w:val="center"/>
          </w:tcPr>
          <w:p>
            <w:pPr>
              <w:pStyle w:val="10"/>
            </w:pPr>
            <w:r>
              <w:t>　</w:t>
            </w:r>
          </w:p>
        </w:tc>
        <w:tc>
          <w:tcPr>
            <w:tcW w:w="846" w:type="dxa"/>
            <w:tcBorders>
              <w:top w:val="nil"/>
              <w:left w:val="nil"/>
              <w:bottom w:val="single" w:color="auto" w:sz="12" w:space="0"/>
              <w:right w:val="single" w:color="auto" w:sz="4" w:space="0"/>
            </w:tcBorders>
            <w:shd w:val="clear" w:color="000000" w:fill="92D050"/>
            <w:noWrap/>
            <w:tcMar>
              <w:top w:w="15" w:type="dxa"/>
              <w:left w:w="15" w:type="dxa"/>
              <w:right w:w="15" w:type="dxa"/>
            </w:tcMar>
            <w:vAlign w:val="center"/>
          </w:tcPr>
          <w:p>
            <w:pPr>
              <w:pStyle w:val="10"/>
            </w:pPr>
            <w:r>
              <w:t>　</w:t>
            </w:r>
          </w:p>
        </w:tc>
        <w:tc>
          <w:tcPr>
            <w:tcW w:w="856" w:type="dxa"/>
            <w:tcBorders>
              <w:top w:val="nil"/>
              <w:left w:val="nil"/>
              <w:bottom w:val="single" w:color="auto" w:sz="12" w:space="0"/>
              <w:right w:val="single" w:color="auto" w:sz="12" w:space="0"/>
            </w:tcBorders>
            <w:shd w:val="clear" w:color="000000" w:fill="92D050"/>
            <w:noWrap/>
            <w:tcMar>
              <w:top w:w="15" w:type="dxa"/>
              <w:left w:w="15" w:type="dxa"/>
              <w:right w:w="15" w:type="dxa"/>
            </w:tcMar>
            <w:vAlign w:val="center"/>
          </w:tcPr>
          <w:p>
            <w:pPr>
              <w:pStyle w:val="10"/>
            </w:pPr>
            <w:r>
              <w:t>-</w:t>
            </w:r>
          </w:p>
        </w:tc>
      </w:tr>
    </w:tbl>
    <w:p>
      <w:pPr>
        <w:ind w:firstLine="480"/>
        <w:rPr>
          <w:rFonts w:hint="eastAsia" w:eastAsia="宋体"/>
          <w:lang w:eastAsia="zh-CN"/>
        </w:rPr>
        <w:sectPr>
          <w:pgSz w:w="16838" w:h="11906" w:orient="landscape"/>
          <w:pgMar w:top="1440" w:right="1797" w:bottom="1440" w:left="1797" w:header="851" w:footer="992" w:gutter="0"/>
          <w:cols w:space="720" w:num="1"/>
          <w:docGrid w:type="lines" w:linePitch="312" w:charSpace="0"/>
        </w:sectPr>
      </w:pPr>
      <w:r>
        <w:rPr>
          <w:rFonts w:hint="eastAsia"/>
        </w:rPr>
        <w:t>如上表可知，最终的地下水风险控制值为2.98mg/L</w:t>
      </w:r>
      <w:r>
        <w:rPr>
          <w:rFonts w:hint="eastAsia"/>
          <w:lang w:eastAsia="zh-CN"/>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480"/>
    </w:pPr>
    <w:r>
      <w:fldChar w:fldCharType="begin"/>
    </w:r>
    <w:r>
      <w:instrText xml:space="preserve"> PAGE   \* MERGEFORMAT </w:instrText>
    </w:r>
    <w:r>
      <w:fldChar w:fldCharType="separate"/>
    </w:r>
    <w:r>
      <w:rPr>
        <w:lang w:val="zh-CN"/>
      </w:rP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A8241"/>
    <w:multiLevelType w:val="singleLevel"/>
    <w:tmpl w:val="1B2A8241"/>
    <w:lvl w:ilvl="0" w:tentative="0">
      <w:start w:val="2"/>
      <w:numFmt w:val="decimal"/>
      <w:suff w:val="nothing"/>
      <w:lvlText w:val="（%1）"/>
      <w:lvlJc w:val="left"/>
    </w:lvl>
  </w:abstractNum>
  <w:abstractNum w:abstractNumId="1">
    <w:nsid w:val="5283F9F3"/>
    <w:multiLevelType w:val="multilevel"/>
    <w:tmpl w:val="5283F9F3"/>
    <w:lvl w:ilvl="0" w:tentative="0">
      <w:start w:val="1"/>
      <w:numFmt w:val="decimal"/>
      <w:pStyle w:val="3"/>
      <w:lvlText w:val="%1"/>
      <w:lvlJc w:val="left"/>
      <w:pPr>
        <w:ind w:left="425" w:hanging="425"/>
      </w:pPr>
      <w:rPr>
        <w:rFonts w:hint="default" w:ascii="Times New Roman" w:hAnsi="Times New Roman" w:eastAsia="宋体" w:cs="宋体"/>
        <w:sz w:val="32"/>
      </w:rPr>
    </w:lvl>
    <w:lvl w:ilvl="1" w:tentative="0">
      <w:start w:val="1"/>
      <w:numFmt w:val="decimal"/>
      <w:lvlText w:val="%1.%2"/>
      <w:lvlJc w:val="left"/>
      <w:pPr>
        <w:ind w:left="567" w:hanging="567"/>
      </w:pPr>
      <w:rPr>
        <w:rFonts w:hint="default" w:ascii="Times New Roman" w:hAnsi="Times New Roman" w:eastAsia="宋体" w:cs="宋体"/>
        <w:sz w:val="30"/>
      </w:rPr>
    </w:lvl>
    <w:lvl w:ilvl="2" w:tentative="0">
      <w:start w:val="1"/>
      <w:numFmt w:val="decimal"/>
      <w:lvlText w:val="%1.%2.%3"/>
      <w:lvlJc w:val="left"/>
      <w:pPr>
        <w:ind w:left="709" w:hanging="709"/>
      </w:pPr>
      <w:rPr>
        <w:rFonts w:hint="default" w:ascii="Times New Roman" w:hAnsi="Times New Roman" w:eastAsia="宋体" w:cs="宋体"/>
        <w:sz w:val="28"/>
      </w:rPr>
    </w:lvl>
    <w:lvl w:ilvl="3" w:tentative="0">
      <w:start w:val="1"/>
      <w:numFmt w:val="decimal"/>
      <w:lvlText w:val="%1.%2.%3.%4"/>
      <w:lvlJc w:val="left"/>
      <w:pPr>
        <w:ind w:left="850" w:hanging="850"/>
      </w:pPr>
      <w:rPr>
        <w:rFonts w:hint="default" w:ascii="Times New Roman" w:hAnsi="Times New Roman" w:eastAsia="宋体" w:cs="宋体"/>
        <w:sz w:val="24"/>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FE3C6B"/>
    <w:rsid w:val="39FE3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numPr>
        <w:ilvl w:val="0"/>
        <w:numId w:val="1"/>
      </w:numPr>
      <w:spacing w:beforeLines="0" w:beforeAutospacing="0" w:afterLines="0" w:afterAutospacing="0" w:line="360" w:lineRule="auto"/>
      <w:ind w:left="425" w:hanging="425" w:firstLineChars="0"/>
      <w:jc w:val="left"/>
      <w:outlineLvl w:val="0"/>
    </w:pPr>
    <w:rPr>
      <w:b/>
      <w:kern w:val="44"/>
      <w:sz w:val="32"/>
    </w:rPr>
  </w:style>
  <w:style w:type="character" w:default="1" w:styleId="8">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Plain Text"/>
    <w:basedOn w:val="1"/>
    <w:unhideWhenUsed/>
    <w:qFormat/>
    <w:uiPriority w:val="0"/>
    <w:rPr>
      <w:rFonts w:ascii="Courier New" w:hAnsi="Courier New"/>
      <w:szCs w:val="20"/>
    </w:rPr>
  </w:style>
  <w:style w:type="paragraph" w:styleId="4">
    <w:name w:val="caption"/>
    <w:basedOn w:val="1"/>
    <w:next w:val="1"/>
    <w:qFormat/>
    <w:uiPriority w:val="0"/>
    <w:pPr>
      <w:spacing w:line="360" w:lineRule="auto"/>
      <w:ind w:firstLine="0" w:firstLineChars="0"/>
      <w:jc w:val="center"/>
    </w:pPr>
    <w:rPr>
      <w:b/>
      <w:sz w:val="21"/>
    </w:rPr>
  </w:style>
  <w:style w:type="paragraph" w:styleId="5">
    <w:name w:val="footer"/>
    <w:basedOn w:val="1"/>
    <w:qFormat/>
    <w:uiPriority w:val="99"/>
    <w:pPr>
      <w:tabs>
        <w:tab w:val="center" w:pos="4153"/>
        <w:tab w:val="right" w:pos="8306"/>
      </w:tabs>
      <w:snapToGrid w:val="0"/>
      <w:spacing w:line="240" w:lineRule="auto"/>
      <w:ind w:firstLine="0" w:firstLineChars="0"/>
      <w:jc w:val="center"/>
    </w:pPr>
    <w:rPr>
      <w:rFonts w:ascii="Times New Roman" w:hAnsi="Times New Roman"/>
      <w:sz w:val="18"/>
    </w:rPr>
  </w:style>
  <w:style w:type="paragraph" w:styleId="6">
    <w:name w:val="List"/>
    <w:basedOn w:val="1"/>
    <w:qFormat/>
    <w:uiPriority w:val="0"/>
    <w:pPr>
      <w:ind w:left="200" w:hanging="200" w:hangingChars="200"/>
    </w:pPr>
  </w:style>
  <w:style w:type="paragraph" w:customStyle="1" w:styleId="9">
    <w:name w:val="续表"/>
    <w:basedOn w:val="1"/>
    <w:qFormat/>
    <w:uiPriority w:val="0"/>
    <w:pPr>
      <w:ind w:firstLine="0" w:firstLineChars="0"/>
      <w:jc w:val="right"/>
    </w:pPr>
    <w:rPr>
      <w:rFonts w:ascii="Times New Roman"/>
    </w:rPr>
  </w:style>
  <w:style w:type="paragraph" w:customStyle="1" w:styleId="10">
    <w:name w:val="表格文字"/>
    <w:basedOn w:val="6"/>
    <w:qFormat/>
    <w:uiPriority w:val="0"/>
    <w:pPr>
      <w:spacing w:line="240" w:lineRule="auto"/>
      <w:ind w:left="0" w:firstLine="0" w:firstLineChars="0"/>
      <w:jc w:val="center"/>
    </w:pPr>
    <w:rPr>
      <w:rFonts w:ascii="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2019-07-08T03:29:00Z</dcterms:created>
  <dc:creator>叶小叶～</dc:creator>
  <cp:lastModifiedBy>叶小叶～</cp:lastModifiedBy>
  <dcterms:modified xsi:type="dcterms:W3CDTF">2019-07-08T03:31:49Z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