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南通产业控股集团有限公司关于经济责任审计招标公告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南通产业控股集团有限公司（以下简称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产控集团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）拟购买社会服务，邀请具备规定资质的审计机构参与投标。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一、服务需求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产控集团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eastAsia="zh-CN"/>
        </w:rPr>
        <w:t>拟对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两家全资子公司的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法定代表人任职期间的经济责任履行情况进行审计。</w:t>
      </w:r>
    </w:p>
    <w:p>
      <w:pPr>
        <w:ind w:firstLine="602" w:firstLineChars="200"/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二、基本情况</w:t>
      </w:r>
    </w:p>
    <w:tbl>
      <w:tblPr>
        <w:tblStyle w:val="4"/>
        <w:tblW w:w="967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50"/>
        <w:gridCol w:w="675"/>
        <w:gridCol w:w="1050"/>
        <w:gridCol w:w="2910"/>
        <w:gridCol w:w="1230"/>
        <w:gridCol w:w="111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被审计单位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法人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注册资本</w:t>
            </w:r>
          </w:p>
        </w:tc>
        <w:tc>
          <w:tcPr>
            <w:tcW w:w="291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任职期间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年底财务指标（万元）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资产总计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营业总收入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南通市城供粮油有限公司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22222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张明清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5800万元</w:t>
            </w:r>
          </w:p>
        </w:tc>
        <w:tc>
          <w:tcPr>
            <w:tcW w:w="291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粮食收购、储藏，粮油兑换；自有房屋出租；粮油及粮油制品，饲料，食品添加剂，糖，酒，水产品，调味品，副食品的销售等。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2010.02-2020.12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15746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南通粮食仓储有限公司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22222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刘志清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22222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2100万元</w:t>
            </w:r>
          </w:p>
        </w:tc>
        <w:tc>
          <w:tcPr>
            <w:tcW w:w="291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粮油及其副产品调拨、储藏；粮食收购、批发、收储、代储；对外熏蒸服务。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2013.05-2020.10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6337.45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1667.49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三、审计范围</w:t>
      </w:r>
    </w:p>
    <w:p>
      <w:pPr>
        <w:ind w:firstLine="602" w:firstLineChars="200"/>
        <w:rPr>
          <w:rFonts w:hint="eastAsia" w:ascii="仿宋" w:hAnsi="仿宋" w:eastAsia="仿宋" w:cs="仿宋"/>
          <w:bCs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shd w:val="clear" w:color="auto" w:fill="FFFFFF"/>
          <w:lang w:val="en-US" w:eastAsia="zh-CN"/>
        </w:rPr>
        <w:t>南通市城供粮油有限公司本部（涵盖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张明清同志兼任法人的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shd w:val="clear" w:color="auto" w:fill="FFFFFF"/>
          <w:lang w:val="en-US" w:eastAsia="zh-CN"/>
        </w:rPr>
        <w:t>南通金谷大厦有限公司、南通市饲料购销有限公司）。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南通金谷大厦有限公司，注册资本1023万元人民币，经营范围：物业管理，自有房屋出租；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2020年末资产总额857万元，营业收入150万元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。南通市饲料购销有限公司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  <w:lang w:val="en-US" w:eastAsia="zh-CN"/>
        </w:rPr>
        <w:t>，注册资本20万元人民币，经营范围：饲料及原料，添加剂，兽药等销售；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u w:val="none"/>
          <w:lang w:val="en-US" w:eastAsia="zh-CN"/>
        </w:rPr>
        <w:t>2020年末资产总额176万元，房租营业收入9.3万元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ind w:firstLine="602" w:firstLineChars="20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shd w:val="clear" w:color="auto" w:fill="FFFFFF"/>
          <w:lang w:val="en-US" w:eastAsia="zh-CN"/>
        </w:rPr>
        <w:t>南通粮食仓储有限公司本部（涵盖刘志清同志兼任法人的南通市兴通粮食仓储物流有限责任公司）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南通市兴通粮食仓储物流有限责任公司，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  <w:lang w:val="en-US" w:eastAsia="zh-CN"/>
        </w:rPr>
        <w:t>注册资本2100万元人民币，经营范围：粮食收购。粮油及其副产品的调拨、储藏等；2020年末资产总额4096.23万元，无营业收入。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、审计业务要求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按中国注册会计师执业准则，参照《南通市国资委出资企业领导人员经济责任审计办法（试行）》（通国资发〔2010〕26号）、《南通市市级部门（单位）内部管理领导干部经济责任审计暂行办法》（通办发〔2012〕54号）、《南通市党政主要领导干部和国有企业领导人员经济责任审计规定》（通委发〔2013〕10号）和其他有关法律法规的要求开展审计工作，出具经济责任审计报告。审计内容主要包括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1、企业财务收支的真实、合法和效益情况。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2、企业净资产变化及保值增值情况。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3、企业的重大经济决策的效益效果情况。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4、企业内部控制制度的建立和执行情况。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5、国有资产出资人履行经济管理和监督职责情况。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6、廉洁从业情况。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7、其他需要审计的事项。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五、投标单位资质要求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投标人须为江苏省综合评价AAA级及以上会计师事务所，熟悉大中型企业审计工作，近3年无因违法、违规行为予以处罚记录，并在承担审计业务中未出现重大审计质量问题和不良通报信息。现场执业注册会计师人数不少于2名。国资委中介服务机构库中的成员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六、投标相应文件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  投标人须提交报价函、投标相应文件。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（一）报价函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项目最高定额限价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万元，包含完成经济责任审计服务的劳务、保险、利润、税金、交通、食宿等一切费用、各种税费及政策性文件规定及合同包含的所有风险、责任等各项应有费用。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（二）投标相应文件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   1、文件组成：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（1）关于资格文件的声明函；（2）投标人《营业执照》副本、《税务登记证》副本的复印件（或三证合一的复印件）；（3）法定代表人（负责人）授权委托书（如有授权）；（4）投标人的法定代表人（负责人）及代理人的身份证复印件（如有授权）；（5）投标人近三年承担的类似项目，提供完整的合同复印件；（6）经济责任审计服务团队人员配备方案、安排计划，审计团队执业资格、审计经验、业绩、奖励相关的证明材料；（7）联系人、联系方式；（8）国家法律、法规所规定的其他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2、文件要求：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（1）数量：为一本正本，二本副本，需装订成册；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（2）文件须由投标人的法定代表人（负责人）签章或其授权代表签字或盖公章，以上文件资料必须加盖投标人单位公章；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（3）文件须装袋密封，封口处须加盖公章，封面应注明单位名称等。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七、标书送达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请各投标人将投标材料（须密封，封口加盖公章）于2021年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日17：00前递交至南通产业控股集团有限公司法务部（南通市工农路486号君庭假日酒店7楼711室,投标联系人：缪先生  85537186 ，项目联系人：邵女士 55882002），逾期送（寄）达的或不符合规定的投标文件视作废标。标书邮寄的以邮戳时间为准。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八、开标和评标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开标由招标人自行组织，通过内部评审，以价格单因素法确定中标人。若出现两个或两个以上最低有效报价，招标人将另行组织最低有效报价的投标人重新报价（新报价须低于原报价）。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九、时间要求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自中标通知发出后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0个工作日内，出具经济责任审计征求意见稿。待与委托人及被审计单位交换意见后，出具正式经济责任审计报告。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、其他事项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南通产业控股集团有限公司享有对本公告及未尽事宜的最终解释权。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452" w:firstLineChars="1484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南通产业控股集团有限公司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5052" w:firstLineChars="1684"/>
        <w:jc w:val="left"/>
        <w:textAlignment w:val="baseline"/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26798"/>
    <w:rsid w:val="00C94659"/>
    <w:rsid w:val="0BA665BE"/>
    <w:rsid w:val="192C6F1A"/>
    <w:rsid w:val="1DDF3F5E"/>
    <w:rsid w:val="33C451BD"/>
    <w:rsid w:val="3C1903CC"/>
    <w:rsid w:val="4AB108DF"/>
    <w:rsid w:val="4D4D36C8"/>
    <w:rsid w:val="5ECD6475"/>
    <w:rsid w:val="675C6B27"/>
    <w:rsid w:val="6B026798"/>
    <w:rsid w:val="6F56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2021-08-10T05:47:00Z</dcterms:created>
  <dc:creator>user</dc:creator>
  <cp:lastModifiedBy>叶小叶～</cp:lastModifiedBy>
  <cp:lastPrinted>2021-08-12T08:52:00Z</cp:lastPrinted>
  <dcterms:modified xsi:type="dcterms:W3CDTF">2021-08-17T01:39:32Z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36DDBDF6972549F4821FD8EF9804EFAD</vt:lpwstr>
  </property>
</Properties>
</file>