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南通产业链发展基金母基金管理机构</w:t>
      </w:r>
    </w:p>
    <w:p>
      <w:pPr>
        <w:spacing w:line="590" w:lineRule="exact"/>
        <w:jc w:val="center"/>
        <w:rPr>
          <w:rFonts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申报材料（样本）</w:t>
      </w: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机 构 名 称：</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 位 地 址：</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 系 电 话：</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 请 时 间：</w:t>
      </w: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注：请按照必备指标（附件1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）和评分指标（附件1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）提供纸质版证明材料一式2份，连续编码并列出目录，务必添加对应页码。请规范打印装订成册，左侧胶装，封面盖章并加盖骑缝章。请提供电子版证明材料一份（以U盘存储），内容与纸质版证明材料一致。</w:t>
      </w:r>
    </w:p>
    <w:p>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1-1</w:t>
      </w:r>
      <w:r>
        <w:rPr>
          <w:rFonts w:hint="eastAsia" w:ascii="仿宋_GB2312" w:hAnsi="仿宋_GB2312" w:eastAsia="仿宋_GB2312" w:cs="仿宋_GB2312"/>
          <w:sz w:val="28"/>
          <w:szCs w:val="28"/>
        </w:rPr>
        <w:t>：</w:t>
      </w:r>
    </w:p>
    <w:p>
      <w:pPr>
        <w:spacing w:line="590" w:lineRule="exact"/>
        <w:jc w:val="center"/>
        <w:rPr>
          <w:rFonts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南通产业链发展基金母基金管理机构遴选必备指标</w:t>
      </w:r>
    </w:p>
    <w:tbl>
      <w:tblPr>
        <w:tblStyle w:val="8"/>
        <w:tblW w:w="14413"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5825"/>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blHeader/>
        </w:trPr>
        <w:tc>
          <w:tcPr>
            <w:tcW w:w="650" w:type="dxa"/>
            <w:shd w:val="clear" w:color="auto" w:fill="D8D8D8"/>
            <w:vAlign w:val="center"/>
          </w:tcPr>
          <w:p>
            <w:pPr>
              <w:spacing w:line="360" w:lineRule="exact"/>
              <w:jc w:val="center"/>
              <w:rPr>
                <w:rFonts w:ascii="宋体" w:hAnsi="宋体" w:eastAsia="宋体" w:cs="宋体"/>
                <w:b/>
                <w:bCs/>
                <w:szCs w:val="21"/>
              </w:rPr>
            </w:pPr>
            <w:r>
              <w:rPr>
                <w:rFonts w:hint="eastAsia" w:ascii="宋体" w:hAnsi="宋体" w:eastAsia="宋体" w:cs="宋体"/>
                <w:b/>
                <w:bCs/>
                <w:szCs w:val="21"/>
              </w:rPr>
              <w:t>序号</w:t>
            </w:r>
          </w:p>
        </w:tc>
        <w:tc>
          <w:tcPr>
            <w:tcW w:w="5825" w:type="dxa"/>
            <w:shd w:val="clear" w:color="auto" w:fill="D8D8D8"/>
            <w:vAlign w:val="center"/>
          </w:tcPr>
          <w:p>
            <w:pPr>
              <w:spacing w:line="360" w:lineRule="exact"/>
              <w:jc w:val="center"/>
              <w:rPr>
                <w:rFonts w:ascii="宋体" w:hAnsi="宋体" w:eastAsia="宋体" w:cs="宋体"/>
                <w:b/>
                <w:bCs/>
                <w:szCs w:val="21"/>
              </w:rPr>
            </w:pPr>
            <w:r>
              <w:rPr>
                <w:rFonts w:hint="eastAsia" w:ascii="宋体" w:hAnsi="宋体" w:eastAsia="宋体" w:cs="宋体"/>
                <w:b/>
                <w:bCs/>
                <w:szCs w:val="21"/>
              </w:rPr>
              <w:t>项目</w:t>
            </w:r>
          </w:p>
        </w:tc>
        <w:tc>
          <w:tcPr>
            <w:tcW w:w="7938" w:type="dxa"/>
            <w:shd w:val="clear" w:color="auto" w:fill="D8D8D8"/>
            <w:vAlign w:val="center"/>
          </w:tcPr>
          <w:p>
            <w:pPr>
              <w:spacing w:line="360" w:lineRule="exact"/>
              <w:jc w:val="center"/>
              <w:rPr>
                <w:rFonts w:ascii="宋体" w:hAnsi="宋体" w:eastAsia="宋体" w:cs="宋体"/>
                <w:b/>
                <w:bCs/>
                <w:szCs w:val="21"/>
              </w:rPr>
            </w:pPr>
            <w:r>
              <w:rPr>
                <w:rFonts w:hint="eastAsia" w:ascii="宋体" w:hAnsi="宋体" w:eastAsia="宋体" w:cs="宋体"/>
                <w:b/>
                <w:bCs/>
                <w:szCs w:val="21"/>
              </w:rPr>
              <w:t>可提供的证明材料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w:t>
            </w:r>
          </w:p>
        </w:tc>
        <w:tc>
          <w:tcPr>
            <w:tcW w:w="5825"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依法在境内设立且已在相关主管部门或行业自律组织登记备案。</w:t>
            </w:r>
          </w:p>
        </w:tc>
        <w:tc>
          <w:tcPr>
            <w:tcW w:w="7938" w:type="dxa"/>
            <w:vAlign w:val="center"/>
          </w:tcPr>
          <w:p>
            <w:pPr>
              <w:spacing w:line="36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营业执照复印件、税务登记证书复印件、企业信用报告、完税证明复印件等。</w:t>
            </w:r>
          </w:p>
          <w:p>
            <w:pPr>
              <w:spacing w:line="360" w:lineRule="exac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基协备案法律意见书、备案页面截图。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2</w:t>
            </w:r>
          </w:p>
        </w:tc>
        <w:tc>
          <w:tcPr>
            <w:tcW w:w="5825"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管理机构具有健全的管理制度和机制，实缴货币资本不低于1000万元人民币。</w:t>
            </w:r>
          </w:p>
        </w:tc>
        <w:tc>
          <w:tcPr>
            <w:tcW w:w="7938" w:type="dxa"/>
            <w:vAlign w:val="center"/>
          </w:tcPr>
          <w:p>
            <w:pPr>
              <w:spacing w:line="36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项目立项机制、投资决策机制、激励约束机制、资产托管机制、财务管理制度和风险控制机制等。</w:t>
            </w:r>
          </w:p>
          <w:p>
            <w:pPr>
              <w:spacing w:line="360" w:lineRule="exac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实缴资本专项审计报告复印件或其他证明文件。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w:t>
            </w:r>
          </w:p>
        </w:tc>
        <w:tc>
          <w:tcPr>
            <w:tcW w:w="5825"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未被中国证券投资基金业协会列为异常机构且不存在不良诚信记录等情形，最近三年不存在重大违法违规行为。</w:t>
            </w:r>
          </w:p>
        </w:tc>
        <w:tc>
          <w:tcPr>
            <w:tcW w:w="7938" w:type="dxa"/>
            <w:vAlign w:val="center"/>
          </w:tcPr>
          <w:p>
            <w:pPr>
              <w:numPr>
                <w:ilvl w:val="0"/>
                <w:numId w:val="1"/>
              </w:numPr>
              <w:spacing w:line="360" w:lineRule="exact"/>
              <w:rPr>
                <w:rFonts w:ascii="宋体" w:hAnsi="宋体" w:eastAsia="宋体" w:cs="宋体"/>
                <w:szCs w:val="21"/>
              </w:rPr>
            </w:pPr>
            <w:r>
              <w:rPr>
                <w:rFonts w:hint="eastAsia" w:ascii="宋体" w:hAnsi="宋体" w:eastAsia="宋体" w:cs="宋体"/>
                <w:szCs w:val="21"/>
              </w:rPr>
              <w:t>管理机构有关诉讼、担保、其他或有风险事项说明及文件。</w:t>
            </w:r>
          </w:p>
          <w:p>
            <w:pPr>
              <w:numPr>
                <w:ilvl w:val="0"/>
                <w:numId w:val="1"/>
              </w:numPr>
              <w:spacing w:line="360" w:lineRule="exact"/>
              <w:rPr>
                <w:rFonts w:ascii="宋体" w:hAnsi="宋体" w:eastAsia="宋体" w:cs="宋体"/>
                <w:szCs w:val="21"/>
              </w:rPr>
            </w:pPr>
            <w:r>
              <w:rPr>
                <w:rFonts w:hint="eastAsia" w:ascii="宋体" w:hAnsi="宋体" w:eastAsia="宋体" w:cs="宋体"/>
                <w:szCs w:val="21"/>
              </w:rPr>
              <w:t>最近三年内管理机构及其工作人员无行政主管机构或司法机关处罚的不良记录的声明或承诺。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4</w:t>
            </w:r>
          </w:p>
        </w:tc>
        <w:tc>
          <w:tcPr>
            <w:tcW w:w="5825"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管理机构承诺在被选聘后的一个月内在南通设置固定的办公场所并配备管理团队，至少3名人员常驻南通办公或在南通缴纳社保；管理团队至少有5名具备3年以上基金管理经验、投资经验或相关行业经验的人员，至少配备在母基金管理和产业项目直投领域具有经验的人员各1名；母基金合伙协议须将管理团队的核心成员锁定为关键人士（不多于3人），母基金存续期内关键人士如发生变动，须经全体合伙人决议通过。</w:t>
            </w:r>
          </w:p>
        </w:tc>
        <w:tc>
          <w:tcPr>
            <w:tcW w:w="7938" w:type="dxa"/>
            <w:vAlign w:val="center"/>
          </w:tcPr>
          <w:p>
            <w:pPr>
              <w:spacing w:line="36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管理机构法定代表人、核心团队成员（含拟常驻南通团队成员、拟绑定关键人士）名单、简历并附身份证复印件、任职证明及所获主要荣誉。</w:t>
            </w:r>
          </w:p>
          <w:p>
            <w:pPr>
              <w:spacing w:line="360" w:lineRule="exac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管理机构近一年内所有员工社保记录单据等证明材料（从属地社保机构下载打印并加盖公章）；管理机构在南通设置的固定办公场所房屋产权证明或租赁协议（如有）。</w:t>
            </w:r>
          </w:p>
          <w:p>
            <w:pPr>
              <w:spacing w:line="360" w:lineRule="exact"/>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管理团队及关键人士业绩表及证明文件在评分指标中提供，此处不重复提供。</w:t>
            </w:r>
          </w:p>
          <w:p>
            <w:pPr>
              <w:spacing w:line="360" w:lineRule="exac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关键人士书面承诺并由个人签署确认。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5</w:t>
            </w:r>
          </w:p>
        </w:tc>
        <w:tc>
          <w:tcPr>
            <w:tcW w:w="5825"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母基金管理机构及其相关主体在母基金中出资比例不低于母基金总规模的10%。</w:t>
            </w:r>
          </w:p>
        </w:tc>
        <w:tc>
          <w:tcPr>
            <w:tcW w:w="7938" w:type="dxa"/>
            <w:vAlign w:val="center"/>
          </w:tcPr>
          <w:p>
            <w:pPr>
              <w:spacing w:line="360" w:lineRule="exact"/>
              <w:rPr>
                <w:rFonts w:ascii="宋体" w:hAnsi="宋体" w:eastAsia="宋体" w:cs="宋体"/>
                <w:szCs w:val="21"/>
              </w:rPr>
            </w:pPr>
            <w:r>
              <w:rPr>
                <w:rFonts w:hint="eastAsia" w:ascii="宋体" w:hAnsi="宋体" w:eastAsia="宋体" w:cs="宋体"/>
                <w:szCs w:val="21"/>
              </w:rPr>
              <w:t>管理机构及关联主体出具自有资金出资证明文件、出资承诺书。（可与评分指标二合并提供证明材料）</w:t>
            </w:r>
          </w:p>
        </w:tc>
      </w:tr>
    </w:tbl>
    <w:p>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r>
        <w:rPr>
          <w:rFonts w:ascii="仿宋_GB2312" w:hAnsi="仿宋_GB2312" w:eastAsia="仿宋_GB2312" w:cs="仿宋_GB2312"/>
          <w:sz w:val="28"/>
          <w:szCs w:val="28"/>
        </w:rPr>
        <w:t>-2</w:t>
      </w:r>
    </w:p>
    <w:p>
      <w:pPr>
        <w:spacing w:line="590" w:lineRule="exact"/>
        <w:jc w:val="center"/>
        <w:rPr>
          <w:rFonts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南通产业链发展基金母基金管理机构遴选评分指标</w:t>
      </w:r>
    </w:p>
    <w:p>
      <w:pPr>
        <w:spacing w:line="590" w:lineRule="exact"/>
        <w:ind w:firstLine="560" w:firstLineChars="200"/>
        <w:rPr>
          <w:rFonts w:ascii="仿宋_GB2312" w:hAnsi="仿宋_GB2312" w:eastAsia="仿宋_GB2312" w:cs="仿宋_GB2312"/>
          <w:sz w:val="28"/>
          <w:szCs w:val="28"/>
        </w:rPr>
      </w:pPr>
    </w:p>
    <w:tbl>
      <w:tblPr>
        <w:tblStyle w:val="8"/>
        <w:tblW w:w="14413"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3841"/>
        <w:gridCol w:w="709"/>
        <w:gridCol w:w="4536"/>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blHeader/>
        </w:trPr>
        <w:tc>
          <w:tcPr>
            <w:tcW w:w="650" w:type="dxa"/>
            <w:shd w:val="clear" w:color="auto" w:fill="D8D8D8"/>
            <w:vAlign w:val="center"/>
          </w:tcPr>
          <w:p>
            <w:pPr>
              <w:spacing w:line="360" w:lineRule="exact"/>
              <w:jc w:val="center"/>
              <w:rPr>
                <w:rFonts w:ascii="宋体" w:hAnsi="宋体" w:eastAsia="宋体" w:cs="宋体"/>
                <w:b/>
                <w:bCs/>
                <w:szCs w:val="21"/>
              </w:rPr>
            </w:pPr>
            <w:r>
              <w:rPr>
                <w:rFonts w:hint="eastAsia" w:ascii="宋体" w:hAnsi="宋体" w:eastAsia="宋体" w:cs="宋体"/>
                <w:b/>
                <w:bCs/>
                <w:szCs w:val="21"/>
              </w:rPr>
              <w:t>序号</w:t>
            </w:r>
          </w:p>
        </w:tc>
        <w:tc>
          <w:tcPr>
            <w:tcW w:w="3841" w:type="dxa"/>
            <w:shd w:val="clear" w:color="auto" w:fill="D8D8D8"/>
            <w:vAlign w:val="center"/>
          </w:tcPr>
          <w:p>
            <w:pPr>
              <w:spacing w:line="360" w:lineRule="exact"/>
              <w:jc w:val="center"/>
              <w:rPr>
                <w:rFonts w:ascii="宋体" w:hAnsi="宋体" w:eastAsia="宋体" w:cs="宋体"/>
                <w:b/>
                <w:bCs/>
                <w:szCs w:val="21"/>
              </w:rPr>
            </w:pPr>
            <w:r>
              <w:rPr>
                <w:rFonts w:hint="eastAsia" w:ascii="宋体" w:hAnsi="宋体" w:eastAsia="宋体" w:cs="宋体"/>
                <w:b/>
                <w:bCs/>
                <w:szCs w:val="21"/>
              </w:rPr>
              <w:t>评分项目</w:t>
            </w:r>
          </w:p>
        </w:tc>
        <w:tc>
          <w:tcPr>
            <w:tcW w:w="709" w:type="dxa"/>
            <w:shd w:val="clear" w:color="auto" w:fill="D8D8D8"/>
            <w:vAlign w:val="center"/>
          </w:tcPr>
          <w:p>
            <w:pPr>
              <w:spacing w:line="360" w:lineRule="exact"/>
              <w:jc w:val="center"/>
              <w:rPr>
                <w:rFonts w:ascii="宋体" w:hAnsi="宋体" w:eastAsia="宋体" w:cs="宋体"/>
                <w:b/>
                <w:bCs/>
                <w:szCs w:val="21"/>
              </w:rPr>
            </w:pPr>
            <w:r>
              <w:rPr>
                <w:rFonts w:hint="eastAsia" w:ascii="宋体" w:hAnsi="宋体" w:eastAsia="宋体" w:cs="宋体"/>
                <w:b/>
                <w:bCs/>
                <w:szCs w:val="21"/>
              </w:rPr>
              <w:t>分值</w:t>
            </w:r>
          </w:p>
        </w:tc>
        <w:tc>
          <w:tcPr>
            <w:tcW w:w="4536" w:type="dxa"/>
            <w:shd w:val="clear" w:color="auto" w:fill="D8D8D8"/>
            <w:vAlign w:val="center"/>
          </w:tcPr>
          <w:p>
            <w:pPr>
              <w:spacing w:line="360" w:lineRule="exact"/>
              <w:jc w:val="center"/>
              <w:rPr>
                <w:rFonts w:ascii="宋体" w:hAnsi="宋体" w:eastAsia="宋体" w:cs="宋体"/>
                <w:b/>
                <w:bCs/>
                <w:szCs w:val="21"/>
              </w:rPr>
            </w:pPr>
            <w:r>
              <w:rPr>
                <w:rFonts w:hint="eastAsia" w:ascii="宋体" w:hAnsi="宋体" w:eastAsia="宋体" w:cs="宋体"/>
                <w:b/>
                <w:bCs/>
                <w:szCs w:val="21"/>
              </w:rPr>
              <w:t>评分标准</w:t>
            </w:r>
          </w:p>
        </w:tc>
        <w:tc>
          <w:tcPr>
            <w:tcW w:w="4677" w:type="dxa"/>
            <w:shd w:val="clear" w:color="auto" w:fill="D8D8D8"/>
            <w:vAlign w:val="center"/>
          </w:tcPr>
          <w:p>
            <w:pPr>
              <w:spacing w:line="360" w:lineRule="exact"/>
              <w:jc w:val="center"/>
              <w:rPr>
                <w:rFonts w:ascii="宋体" w:hAnsi="宋体" w:eastAsia="宋体" w:cs="宋体"/>
                <w:b/>
                <w:bCs/>
                <w:szCs w:val="21"/>
              </w:rPr>
            </w:pPr>
            <w:r>
              <w:rPr>
                <w:rFonts w:hint="eastAsia" w:ascii="宋体" w:hAnsi="宋体" w:eastAsia="宋体" w:cs="宋体"/>
                <w:b/>
                <w:bCs/>
                <w:szCs w:val="21"/>
              </w:rPr>
              <w:t>可提供的证明材料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4413" w:type="dxa"/>
            <w:gridSpan w:val="5"/>
            <w:vAlign w:val="center"/>
          </w:tcPr>
          <w:p>
            <w:pPr>
              <w:spacing w:line="360" w:lineRule="exact"/>
              <w:rPr>
                <w:rFonts w:ascii="宋体" w:hAnsi="宋体" w:eastAsia="宋体" w:cs="宋体"/>
                <w:b/>
                <w:bCs/>
                <w:szCs w:val="21"/>
              </w:rPr>
            </w:pPr>
            <w:r>
              <w:rPr>
                <w:rFonts w:hint="eastAsia" w:ascii="宋体" w:hAnsi="宋体" w:eastAsia="宋体" w:cs="宋体"/>
                <w:b/>
                <w:bCs/>
                <w:szCs w:val="21"/>
              </w:rPr>
              <w:t>一、管理能力（3</w:t>
            </w:r>
            <w:r>
              <w:rPr>
                <w:rFonts w:ascii="宋体" w:hAnsi="宋体" w:eastAsia="宋体" w:cs="宋体"/>
                <w:b/>
                <w:bCs/>
                <w:szCs w:val="21"/>
              </w:rPr>
              <w:t>0</w:t>
            </w:r>
            <w:r>
              <w:rPr>
                <w:rFonts w:hint="eastAsia" w:ascii="宋体" w:hAnsi="宋体" w:eastAsia="宋体" w:cs="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w:t>
            </w:r>
          </w:p>
        </w:tc>
        <w:tc>
          <w:tcPr>
            <w:tcW w:w="3841"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管理团队过往业绩。</w:t>
            </w:r>
          </w:p>
          <w:p>
            <w:pPr>
              <w:spacing w:line="360" w:lineRule="exact"/>
              <w:rPr>
                <w:rFonts w:ascii="宋体" w:hAnsi="宋体" w:eastAsia="宋体" w:cs="宋体"/>
                <w:szCs w:val="21"/>
              </w:rPr>
            </w:pPr>
          </w:p>
        </w:tc>
        <w:tc>
          <w:tcPr>
            <w:tcW w:w="709"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4536" w:type="dxa"/>
            <w:shd w:val="clear" w:color="auto" w:fill="auto"/>
            <w:vAlign w:val="center"/>
          </w:tcPr>
          <w:p>
            <w:pPr>
              <w:spacing w:line="360" w:lineRule="exact"/>
              <w:rPr>
                <w:rFonts w:ascii="宋体" w:hAnsi="宋体" w:eastAsia="宋体" w:cs="宋体"/>
                <w:szCs w:val="21"/>
              </w:rPr>
            </w:pPr>
            <w:bookmarkStart w:id="0" w:name="_GoBack"/>
            <w:bookmarkEnd w:id="0"/>
          </w:p>
          <w:p>
            <w:pPr>
              <w:spacing w:line="36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管理私募股权基金数量：</w:t>
            </w:r>
          </w:p>
          <w:p>
            <w:pPr>
              <w:spacing w:line="360" w:lineRule="exact"/>
              <w:rPr>
                <w:rFonts w:ascii="宋体" w:hAnsi="宋体" w:eastAsia="宋体" w:cs="宋体"/>
                <w:szCs w:val="21"/>
              </w:rPr>
            </w:pPr>
            <w:r>
              <w:rPr>
                <w:rFonts w:hint="eastAsia" w:ascii="宋体" w:hAnsi="宋体" w:eastAsia="宋体" w:cs="宋体"/>
                <w:szCs w:val="21"/>
              </w:rPr>
              <w:t>过往管理基金1</w:t>
            </w:r>
            <w:r>
              <w:rPr>
                <w:rFonts w:ascii="宋体" w:hAnsi="宋体" w:eastAsia="宋体" w:cs="宋体"/>
                <w:szCs w:val="21"/>
              </w:rPr>
              <w:t>5</w:t>
            </w:r>
            <w:r>
              <w:rPr>
                <w:rFonts w:hint="eastAsia" w:ascii="宋体" w:hAnsi="宋体" w:eastAsia="宋体" w:cs="宋体"/>
                <w:szCs w:val="21"/>
              </w:rPr>
              <w:t>支（含）以上得</w:t>
            </w:r>
            <w:r>
              <w:rPr>
                <w:rFonts w:ascii="宋体" w:hAnsi="宋体" w:eastAsia="宋体" w:cs="宋体"/>
                <w:szCs w:val="21"/>
              </w:rPr>
              <w:t>5</w:t>
            </w:r>
            <w:r>
              <w:rPr>
                <w:rFonts w:hint="eastAsia" w:ascii="宋体" w:hAnsi="宋体" w:eastAsia="宋体" w:cs="宋体"/>
                <w:szCs w:val="21"/>
              </w:rPr>
              <w:t>分，1</w:t>
            </w:r>
            <w:r>
              <w:rPr>
                <w:rFonts w:ascii="宋体" w:hAnsi="宋体" w:eastAsia="宋体" w:cs="宋体"/>
                <w:szCs w:val="21"/>
              </w:rPr>
              <w:t>0</w:t>
            </w:r>
            <w:r>
              <w:rPr>
                <w:rFonts w:hint="eastAsia" w:ascii="宋体" w:hAnsi="宋体" w:eastAsia="宋体" w:cs="宋体"/>
                <w:szCs w:val="21"/>
              </w:rPr>
              <w:t>（含）</w:t>
            </w:r>
            <w:r>
              <w:rPr>
                <w:rFonts w:ascii="宋体" w:hAnsi="宋体" w:eastAsia="宋体" w:cs="宋体"/>
                <w:szCs w:val="21"/>
              </w:rPr>
              <w:t>-15</w:t>
            </w:r>
            <w:r>
              <w:rPr>
                <w:rFonts w:hint="eastAsia" w:ascii="宋体" w:hAnsi="宋体" w:eastAsia="宋体" w:cs="宋体"/>
                <w:szCs w:val="21"/>
              </w:rPr>
              <w:t>支（不含）得</w:t>
            </w:r>
            <w:r>
              <w:rPr>
                <w:rFonts w:ascii="宋体" w:hAnsi="宋体" w:eastAsia="宋体" w:cs="宋体"/>
                <w:szCs w:val="21"/>
              </w:rPr>
              <w:t>3</w:t>
            </w:r>
            <w:r>
              <w:rPr>
                <w:rFonts w:hint="eastAsia" w:ascii="宋体" w:hAnsi="宋体" w:eastAsia="宋体" w:cs="宋体"/>
                <w:szCs w:val="21"/>
              </w:rPr>
              <w:t>分，1</w:t>
            </w:r>
            <w:r>
              <w:rPr>
                <w:rFonts w:ascii="宋体" w:hAnsi="宋体" w:eastAsia="宋体" w:cs="宋体"/>
                <w:szCs w:val="21"/>
              </w:rPr>
              <w:t>0</w:t>
            </w:r>
            <w:r>
              <w:rPr>
                <w:rFonts w:hint="eastAsia" w:ascii="宋体" w:hAnsi="宋体" w:eastAsia="宋体" w:cs="宋体"/>
                <w:szCs w:val="21"/>
              </w:rPr>
              <w:t>支以下不得分。</w:t>
            </w:r>
          </w:p>
          <w:p>
            <w:pPr>
              <w:spacing w:line="360" w:lineRule="exac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管理私募股权基金规模：</w:t>
            </w:r>
          </w:p>
          <w:p>
            <w:pPr>
              <w:spacing w:line="360" w:lineRule="exact"/>
              <w:rPr>
                <w:rFonts w:ascii="宋体" w:hAnsi="宋体" w:eastAsia="宋体" w:cs="宋体"/>
                <w:szCs w:val="21"/>
              </w:rPr>
            </w:pPr>
            <w:r>
              <w:rPr>
                <w:rFonts w:hint="eastAsia" w:ascii="宋体" w:hAnsi="宋体" w:eastAsia="宋体" w:cs="宋体"/>
                <w:szCs w:val="21"/>
              </w:rPr>
              <w:t>（1）过往管理基金累计实缴规模</w:t>
            </w:r>
            <w:r>
              <w:rPr>
                <w:rFonts w:ascii="宋体" w:hAnsi="宋体" w:eastAsia="宋体" w:cs="宋体"/>
                <w:szCs w:val="21"/>
              </w:rPr>
              <w:t>3</w:t>
            </w:r>
            <w:r>
              <w:rPr>
                <w:rFonts w:hint="eastAsia" w:ascii="宋体" w:hAnsi="宋体" w:eastAsia="宋体" w:cs="宋体"/>
                <w:szCs w:val="21"/>
              </w:rPr>
              <w:t>00亿元（含）以上得2分，</w:t>
            </w:r>
            <w:r>
              <w:rPr>
                <w:rFonts w:ascii="宋体" w:hAnsi="宋体" w:eastAsia="宋体" w:cs="宋体"/>
                <w:szCs w:val="21"/>
              </w:rPr>
              <w:t>3</w:t>
            </w:r>
            <w:r>
              <w:rPr>
                <w:rFonts w:hint="eastAsia" w:ascii="宋体" w:hAnsi="宋体" w:eastAsia="宋体" w:cs="宋体"/>
                <w:szCs w:val="21"/>
              </w:rPr>
              <w:t>00亿元（不含）-</w:t>
            </w:r>
            <w:r>
              <w:rPr>
                <w:rFonts w:ascii="宋体" w:hAnsi="宋体" w:eastAsia="宋体" w:cs="宋体"/>
                <w:szCs w:val="21"/>
              </w:rPr>
              <w:t>1</w:t>
            </w:r>
            <w:r>
              <w:rPr>
                <w:rFonts w:hint="eastAsia" w:ascii="宋体" w:hAnsi="宋体" w:eastAsia="宋体" w:cs="宋体"/>
                <w:szCs w:val="21"/>
              </w:rPr>
              <w:t>00亿元（含）得1分，</w:t>
            </w:r>
            <w:r>
              <w:rPr>
                <w:rFonts w:ascii="宋体" w:hAnsi="宋体" w:eastAsia="宋体" w:cs="宋体"/>
                <w:szCs w:val="21"/>
              </w:rPr>
              <w:t>1</w:t>
            </w:r>
            <w:r>
              <w:rPr>
                <w:rFonts w:hint="eastAsia" w:ascii="宋体" w:hAnsi="宋体" w:eastAsia="宋体" w:cs="宋体"/>
                <w:szCs w:val="21"/>
              </w:rPr>
              <w:t>00亿元（不含）以下不得分。</w:t>
            </w:r>
          </w:p>
          <w:p>
            <w:pPr>
              <w:spacing w:line="360" w:lineRule="exact"/>
              <w:rPr>
                <w:rFonts w:ascii="宋体" w:hAnsi="宋体" w:eastAsia="宋体" w:cs="宋体"/>
                <w:szCs w:val="21"/>
              </w:rPr>
            </w:pPr>
            <w:r>
              <w:rPr>
                <w:rFonts w:hint="eastAsia" w:ascii="宋体" w:hAnsi="宋体" w:eastAsia="宋体" w:cs="宋体"/>
                <w:szCs w:val="21"/>
              </w:rPr>
              <w:t>（2）过往管理母基金累计实缴规模50亿元（含）以上得3分，</w:t>
            </w:r>
            <w:r>
              <w:rPr>
                <w:rFonts w:ascii="宋体" w:hAnsi="宋体" w:eastAsia="宋体" w:cs="宋体"/>
                <w:szCs w:val="21"/>
              </w:rPr>
              <w:t>50</w:t>
            </w:r>
            <w:r>
              <w:rPr>
                <w:rFonts w:hint="eastAsia" w:ascii="宋体" w:hAnsi="宋体" w:eastAsia="宋体" w:cs="宋体"/>
                <w:szCs w:val="21"/>
              </w:rPr>
              <w:t>亿元（不含）以下不得分。</w:t>
            </w:r>
          </w:p>
          <w:p>
            <w:pPr>
              <w:spacing w:line="360" w:lineRule="exact"/>
              <w:rPr>
                <w:rFonts w:ascii="宋体" w:hAnsi="宋体" w:eastAsia="宋体" w:cs="宋体"/>
                <w:szCs w:val="21"/>
              </w:rPr>
            </w:pPr>
          </w:p>
        </w:tc>
        <w:tc>
          <w:tcPr>
            <w:tcW w:w="4677" w:type="dxa"/>
            <w:vAlign w:val="center"/>
          </w:tcPr>
          <w:p>
            <w:pPr>
              <w:spacing w:line="360" w:lineRule="exact"/>
              <w:rPr>
                <w:rFonts w:ascii="宋体" w:hAnsi="宋体" w:eastAsia="宋体" w:cs="宋体"/>
                <w:szCs w:val="21"/>
                <w:highlight w:val="none"/>
              </w:rPr>
            </w:pPr>
            <w:r>
              <w:rPr>
                <w:rFonts w:hint="eastAsia" w:ascii="宋体" w:hAnsi="宋体" w:eastAsia="宋体" w:cs="宋体"/>
                <w:szCs w:val="21"/>
                <w:highlight w:val="none"/>
              </w:rPr>
              <w:t>1</w:t>
            </w:r>
            <w:r>
              <w:rPr>
                <w:rFonts w:ascii="宋体" w:hAnsi="宋体" w:eastAsia="宋体" w:cs="宋体"/>
                <w:szCs w:val="21"/>
                <w:highlight w:val="none"/>
              </w:rPr>
              <w:t>.</w:t>
            </w:r>
            <w:r>
              <w:rPr>
                <w:rFonts w:hint="eastAsia" w:ascii="宋体" w:hAnsi="宋体" w:eastAsia="宋体" w:cs="宋体"/>
                <w:szCs w:val="21"/>
                <w:highlight w:val="none"/>
              </w:rPr>
              <w:t>申报的管理团队填写过往业绩表并加盖公章（参照样表提供）；</w:t>
            </w:r>
          </w:p>
          <w:p>
            <w:pPr>
              <w:spacing w:line="360" w:lineRule="exact"/>
              <w:rPr>
                <w:rFonts w:ascii="宋体" w:hAnsi="宋体" w:eastAsia="宋体" w:cs="宋体"/>
                <w:szCs w:val="21"/>
              </w:rPr>
            </w:pPr>
            <w:r>
              <w:rPr>
                <w:rFonts w:hint="eastAsia" w:ascii="宋体" w:hAnsi="宋体" w:eastAsia="宋体" w:cs="宋体"/>
                <w:szCs w:val="21"/>
                <w:highlight w:val="none"/>
              </w:rPr>
              <w:t>2</w:t>
            </w:r>
            <w:r>
              <w:rPr>
                <w:rFonts w:ascii="宋体" w:hAnsi="宋体" w:eastAsia="宋体" w:cs="宋体"/>
                <w:szCs w:val="21"/>
                <w:highlight w:val="none"/>
              </w:rPr>
              <w:t>.</w:t>
            </w:r>
            <w:r>
              <w:rPr>
                <w:rFonts w:hint="eastAsia" w:ascii="宋体" w:hAnsi="宋体" w:eastAsia="宋体" w:cs="宋体"/>
                <w:szCs w:val="21"/>
                <w:highlight w:val="none"/>
              </w:rPr>
              <w:t>申报的管理团队过往业绩证</w:t>
            </w:r>
            <w:r>
              <w:rPr>
                <w:rFonts w:hint="eastAsia" w:ascii="宋体" w:hAnsi="宋体" w:eastAsia="宋体" w:cs="宋体"/>
                <w:szCs w:val="21"/>
              </w:rPr>
              <w:t>明文件：投资协议、投决会材料、投资机构盖章说明等。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4"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2</w:t>
            </w:r>
          </w:p>
        </w:tc>
        <w:tc>
          <w:tcPr>
            <w:tcW w:w="3841"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关键人士过往业绩。</w:t>
            </w:r>
          </w:p>
          <w:p>
            <w:pPr>
              <w:spacing w:line="360" w:lineRule="exact"/>
              <w:rPr>
                <w:rFonts w:ascii="宋体" w:hAnsi="宋体" w:eastAsia="宋体" w:cs="宋体"/>
                <w:szCs w:val="21"/>
              </w:rPr>
            </w:pPr>
            <w:r>
              <w:rPr>
                <w:rFonts w:hint="eastAsia" w:ascii="宋体" w:hAnsi="宋体" w:eastAsia="宋体" w:cs="宋体"/>
                <w:sz w:val="18"/>
                <w:szCs w:val="18"/>
                <w:u w:val="single"/>
              </w:rPr>
              <w:t>注释：为母基金合伙协议拟绑定人员过往业绩总和。</w:t>
            </w:r>
          </w:p>
        </w:tc>
        <w:tc>
          <w:tcPr>
            <w:tcW w:w="709"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0</w:t>
            </w:r>
          </w:p>
        </w:tc>
        <w:tc>
          <w:tcPr>
            <w:tcW w:w="4536"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管理经验：具有8年（含）以上股权投资管理经验得</w:t>
            </w:r>
            <w:r>
              <w:rPr>
                <w:rFonts w:ascii="宋体" w:hAnsi="宋体" w:eastAsia="宋体" w:cs="宋体"/>
                <w:szCs w:val="21"/>
              </w:rPr>
              <w:t>2</w:t>
            </w:r>
            <w:r>
              <w:rPr>
                <w:rFonts w:hint="eastAsia" w:ascii="宋体" w:hAnsi="宋体" w:eastAsia="宋体" w:cs="宋体"/>
                <w:szCs w:val="21"/>
              </w:rPr>
              <w:t>分，8年以下不得分。</w:t>
            </w:r>
          </w:p>
          <w:p>
            <w:pPr>
              <w:spacing w:line="360" w:lineRule="exac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管理私募股权基金数量：</w:t>
            </w:r>
          </w:p>
          <w:p>
            <w:pPr>
              <w:spacing w:line="360" w:lineRule="exact"/>
              <w:rPr>
                <w:rFonts w:ascii="宋体" w:hAnsi="宋体" w:eastAsia="宋体" w:cs="宋体"/>
                <w:szCs w:val="21"/>
              </w:rPr>
            </w:pPr>
            <w:r>
              <w:rPr>
                <w:rFonts w:hint="eastAsia" w:ascii="宋体" w:hAnsi="宋体" w:eastAsia="宋体" w:cs="宋体"/>
                <w:szCs w:val="21"/>
              </w:rPr>
              <w:t>过往管理基金5支（含）以上得</w:t>
            </w:r>
            <w:r>
              <w:rPr>
                <w:rFonts w:ascii="宋体" w:hAnsi="宋体" w:eastAsia="宋体" w:cs="宋体"/>
                <w:szCs w:val="21"/>
              </w:rPr>
              <w:t>3</w:t>
            </w:r>
            <w:r>
              <w:rPr>
                <w:rFonts w:hint="eastAsia" w:ascii="宋体" w:hAnsi="宋体" w:eastAsia="宋体" w:cs="宋体"/>
                <w:szCs w:val="21"/>
              </w:rPr>
              <w:t>分，</w:t>
            </w:r>
            <w:r>
              <w:rPr>
                <w:rFonts w:ascii="宋体" w:hAnsi="宋体" w:eastAsia="宋体" w:cs="宋体"/>
                <w:szCs w:val="21"/>
              </w:rPr>
              <w:t>3</w:t>
            </w:r>
            <w:r>
              <w:rPr>
                <w:rFonts w:hint="eastAsia" w:ascii="宋体" w:hAnsi="宋体" w:eastAsia="宋体" w:cs="宋体"/>
                <w:szCs w:val="21"/>
              </w:rPr>
              <w:t>（含）-</w:t>
            </w:r>
            <w:r>
              <w:rPr>
                <w:rFonts w:ascii="宋体" w:hAnsi="宋体" w:eastAsia="宋体" w:cs="宋体"/>
                <w:szCs w:val="21"/>
              </w:rPr>
              <w:t>5</w:t>
            </w:r>
            <w:r>
              <w:rPr>
                <w:rFonts w:hint="eastAsia" w:ascii="宋体" w:hAnsi="宋体" w:eastAsia="宋体" w:cs="宋体"/>
                <w:szCs w:val="21"/>
              </w:rPr>
              <w:t>支（不含）得1分，</w:t>
            </w:r>
            <w:r>
              <w:rPr>
                <w:rFonts w:ascii="宋体" w:hAnsi="宋体" w:eastAsia="宋体" w:cs="宋体"/>
                <w:szCs w:val="21"/>
              </w:rPr>
              <w:t>3</w:t>
            </w:r>
            <w:r>
              <w:rPr>
                <w:rFonts w:hint="eastAsia" w:ascii="宋体" w:hAnsi="宋体" w:eastAsia="宋体" w:cs="宋体"/>
                <w:szCs w:val="21"/>
              </w:rPr>
              <w:t>支以下不得分。</w:t>
            </w:r>
          </w:p>
          <w:p>
            <w:pPr>
              <w:spacing w:line="360" w:lineRule="exac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管理私募股权基金规模：</w:t>
            </w:r>
          </w:p>
          <w:p>
            <w:pPr>
              <w:spacing w:line="360" w:lineRule="exact"/>
              <w:rPr>
                <w:rFonts w:ascii="宋体" w:hAnsi="宋体" w:eastAsia="宋体" w:cs="宋体"/>
                <w:szCs w:val="21"/>
              </w:rPr>
            </w:pPr>
            <w:r>
              <w:rPr>
                <w:rFonts w:hint="eastAsia" w:ascii="宋体" w:hAnsi="宋体" w:eastAsia="宋体" w:cs="宋体"/>
                <w:szCs w:val="21"/>
              </w:rPr>
              <w:t>（1）过往管理基金累计实缴规模1</w:t>
            </w:r>
            <w:r>
              <w:rPr>
                <w:rFonts w:ascii="宋体" w:hAnsi="宋体" w:eastAsia="宋体" w:cs="宋体"/>
                <w:szCs w:val="21"/>
              </w:rPr>
              <w:t>00</w:t>
            </w:r>
            <w:r>
              <w:rPr>
                <w:rFonts w:hint="eastAsia" w:ascii="宋体" w:hAnsi="宋体" w:eastAsia="宋体" w:cs="宋体"/>
                <w:szCs w:val="21"/>
              </w:rPr>
              <w:t>亿元（含）以上得3分，1</w:t>
            </w:r>
            <w:r>
              <w:rPr>
                <w:rFonts w:ascii="宋体" w:hAnsi="宋体" w:eastAsia="宋体" w:cs="宋体"/>
                <w:szCs w:val="21"/>
              </w:rPr>
              <w:t>00</w:t>
            </w:r>
            <w:r>
              <w:rPr>
                <w:rFonts w:hint="eastAsia" w:ascii="宋体" w:hAnsi="宋体" w:eastAsia="宋体" w:cs="宋体"/>
                <w:szCs w:val="21"/>
              </w:rPr>
              <w:t>亿元（不含）</w:t>
            </w:r>
            <w:r>
              <w:rPr>
                <w:rFonts w:ascii="宋体" w:hAnsi="宋体" w:eastAsia="宋体" w:cs="宋体"/>
                <w:szCs w:val="21"/>
              </w:rPr>
              <w:t>-</w:t>
            </w:r>
            <w:r>
              <w:rPr>
                <w:rFonts w:hint="eastAsia" w:ascii="宋体" w:hAnsi="宋体" w:eastAsia="宋体" w:cs="宋体"/>
                <w:szCs w:val="21"/>
              </w:rPr>
              <w:t>50亿元（含）得2分，</w:t>
            </w:r>
            <w:r>
              <w:rPr>
                <w:rFonts w:ascii="宋体" w:hAnsi="宋体" w:eastAsia="宋体" w:cs="宋体"/>
                <w:szCs w:val="21"/>
              </w:rPr>
              <w:t>50</w:t>
            </w:r>
            <w:r>
              <w:rPr>
                <w:rFonts w:hint="eastAsia" w:ascii="宋体" w:hAnsi="宋体" w:eastAsia="宋体" w:cs="宋体"/>
                <w:szCs w:val="21"/>
              </w:rPr>
              <w:t>亿元以下不得分；</w:t>
            </w:r>
          </w:p>
          <w:p>
            <w:pPr>
              <w:spacing w:line="360" w:lineRule="exact"/>
              <w:rPr>
                <w:rFonts w:ascii="宋体" w:hAnsi="宋体" w:eastAsia="宋体" w:cs="宋体"/>
                <w:szCs w:val="21"/>
              </w:rPr>
            </w:pPr>
            <w:r>
              <w:rPr>
                <w:rFonts w:hint="eastAsia" w:ascii="宋体" w:hAnsi="宋体" w:eastAsia="宋体" w:cs="宋体"/>
                <w:szCs w:val="21"/>
              </w:rPr>
              <w:t>（2）过往管理母基金累计实缴规模3</w:t>
            </w:r>
            <w:r>
              <w:rPr>
                <w:rFonts w:ascii="宋体" w:hAnsi="宋体" w:eastAsia="宋体" w:cs="宋体"/>
                <w:szCs w:val="21"/>
              </w:rPr>
              <w:t>0</w:t>
            </w:r>
            <w:r>
              <w:rPr>
                <w:rFonts w:hint="eastAsia" w:ascii="宋体" w:hAnsi="宋体" w:eastAsia="宋体" w:cs="宋体"/>
                <w:szCs w:val="21"/>
              </w:rPr>
              <w:t>亿元（含）以上得5分，3</w:t>
            </w:r>
            <w:r>
              <w:rPr>
                <w:rFonts w:ascii="宋体" w:hAnsi="宋体" w:eastAsia="宋体" w:cs="宋体"/>
                <w:szCs w:val="21"/>
              </w:rPr>
              <w:t>0</w:t>
            </w:r>
            <w:r>
              <w:rPr>
                <w:rFonts w:hint="eastAsia" w:ascii="宋体" w:hAnsi="宋体" w:eastAsia="宋体" w:cs="宋体"/>
                <w:szCs w:val="21"/>
              </w:rPr>
              <w:t>亿元（不含）-20亿元（含）得3分，2</w:t>
            </w:r>
            <w:r>
              <w:rPr>
                <w:rFonts w:ascii="宋体" w:hAnsi="宋体" w:eastAsia="宋体" w:cs="宋体"/>
                <w:szCs w:val="21"/>
              </w:rPr>
              <w:t>0</w:t>
            </w:r>
            <w:r>
              <w:rPr>
                <w:rFonts w:hint="eastAsia" w:ascii="宋体" w:hAnsi="宋体" w:eastAsia="宋体" w:cs="宋体"/>
                <w:szCs w:val="21"/>
              </w:rPr>
              <w:t>亿元以下不得分。</w:t>
            </w:r>
          </w:p>
          <w:p>
            <w:pPr>
              <w:spacing w:line="360" w:lineRule="exac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投资收益</w:t>
            </w:r>
          </w:p>
          <w:p>
            <w:pPr>
              <w:spacing w:line="360" w:lineRule="exact"/>
              <w:rPr>
                <w:rFonts w:ascii="宋体" w:hAnsi="宋体" w:eastAsia="宋体" w:cs="宋体"/>
                <w:szCs w:val="21"/>
              </w:rPr>
            </w:pPr>
            <w:r>
              <w:rPr>
                <w:rFonts w:hint="eastAsia" w:ascii="宋体" w:hAnsi="宋体" w:eastAsia="宋体" w:cs="宋体"/>
                <w:szCs w:val="21"/>
              </w:rPr>
              <w:t>过往管理私募股权基金平均IRR为20%（含）以上的得</w:t>
            </w:r>
            <w:r>
              <w:rPr>
                <w:rFonts w:ascii="宋体" w:hAnsi="宋体" w:eastAsia="宋体" w:cs="宋体"/>
                <w:szCs w:val="21"/>
              </w:rPr>
              <w:t>3</w:t>
            </w:r>
            <w:r>
              <w:rPr>
                <w:rFonts w:hint="eastAsia" w:ascii="宋体" w:hAnsi="宋体" w:eastAsia="宋体" w:cs="宋体"/>
                <w:szCs w:val="21"/>
              </w:rPr>
              <w:t>分；2</w:t>
            </w:r>
            <w:r>
              <w:rPr>
                <w:rFonts w:ascii="宋体" w:hAnsi="宋体" w:eastAsia="宋体" w:cs="宋体"/>
                <w:szCs w:val="21"/>
              </w:rPr>
              <w:t>0%</w:t>
            </w:r>
            <w:r>
              <w:rPr>
                <w:rFonts w:hint="eastAsia" w:ascii="宋体" w:hAnsi="宋体" w:eastAsia="宋体" w:cs="宋体"/>
                <w:szCs w:val="21"/>
              </w:rPr>
              <w:t>以下，每减少1</w:t>
            </w:r>
            <w:r>
              <w:rPr>
                <w:rFonts w:ascii="宋体" w:hAnsi="宋体" w:eastAsia="宋体" w:cs="宋体"/>
                <w:szCs w:val="21"/>
              </w:rPr>
              <w:t>%</w:t>
            </w:r>
            <w:r>
              <w:rPr>
                <w:rFonts w:hint="eastAsia" w:ascii="宋体" w:hAnsi="宋体" w:eastAsia="宋体" w:cs="宋体"/>
                <w:szCs w:val="21"/>
              </w:rPr>
              <w:t>减0</w:t>
            </w:r>
            <w:r>
              <w:rPr>
                <w:rFonts w:ascii="宋体" w:hAnsi="宋体" w:eastAsia="宋体" w:cs="宋体"/>
                <w:szCs w:val="21"/>
              </w:rPr>
              <w:t>.2</w:t>
            </w:r>
            <w:r>
              <w:rPr>
                <w:rFonts w:hint="eastAsia" w:ascii="宋体" w:hAnsi="宋体" w:eastAsia="宋体" w:cs="宋体"/>
                <w:szCs w:val="21"/>
              </w:rPr>
              <w:t>分；IRR低于6%（不含）不得分。</w:t>
            </w:r>
          </w:p>
          <w:p>
            <w:pPr>
              <w:spacing w:line="360" w:lineRule="exact"/>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成功退出案例数量：</w:t>
            </w:r>
          </w:p>
          <w:p>
            <w:pPr>
              <w:spacing w:line="360" w:lineRule="exact"/>
              <w:rPr>
                <w:rFonts w:ascii="宋体" w:hAnsi="宋体" w:eastAsia="宋体" w:cs="宋体"/>
                <w:szCs w:val="21"/>
              </w:rPr>
            </w:pPr>
            <w:r>
              <w:rPr>
                <w:rFonts w:hint="eastAsia" w:ascii="宋体" w:hAnsi="宋体" w:eastAsia="宋体" w:cs="宋体"/>
                <w:szCs w:val="21"/>
              </w:rPr>
              <w:t>投资项目成功IPO数量2</w:t>
            </w:r>
            <w:r>
              <w:rPr>
                <w:rFonts w:ascii="宋体" w:hAnsi="宋体" w:eastAsia="宋体" w:cs="宋体"/>
                <w:szCs w:val="21"/>
              </w:rPr>
              <w:t>0</w:t>
            </w:r>
            <w:r>
              <w:rPr>
                <w:rFonts w:hint="eastAsia" w:ascii="宋体" w:hAnsi="宋体" w:eastAsia="宋体" w:cs="宋体"/>
                <w:szCs w:val="21"/>
              </w:rPr>
              <w:t>个（含）以上得4分，</w:t>
            </w:r>
            <w:r>
              <w:rPr>
                <w:rFonts w:ascii="宋体" w:hAnsi="宋体" w:eastAsia="宋体" w:cs="宋体"/>
                <w:szCs w:val="21"/>
              </w:rPr>
              <w:t>20</w:t>
            </w:r>
            <w:r>
              <w:rPr>
                <w:rFonts w:hint="eastAsia" w:ascii="宋体" w:hAnsi="宋体" w:eastAsia="宋体" w:cs="宋体"/>
                <w:szCs w:val="21"/>
              </w:rPr>
              <w:t>个（不含）</w:t>
            </w:r>
            <w:r>
              <w:rPr>
                <w:rFonts w:ascii="宋体" w:hAnsi="宋体" w:eastAsia="宋体" w:cs="宋体"/>
                <w:szCs w:val="21"/>
              </w:rPr>
              <w:t>-10</w:t>
            </w:r>
            <w:r>
              <w:rPr>
                <w:rFonts w:hint="eastAsia" w:ascii="宋体" w:hAnsi="宋体" w:eastAsia="宋体" w:cs="宋体"/>
                <w:szCs w:val="21"/>
              </w:rPr>
              <w:t>个（含）得2分，</w:t>
            </w:r>
            <w:r>
              <w:rPr>
                <w:rFonts w:ascii="宋体" w:hAnsi="宋体" w:eastAsia="宋体" w:cs="宋体"/>
                <w:szCs w:val="21"/>
              </w:rPr>
              <w:t>10</w:t>
            </w:r>
            <w:r>
              <w:rPr>
                <w:rFonts w:hint="eastAsia" w:ascii="宋体" w:hAnsi="宋体" w:eastAsia="宋体" w:cs="宋体"/>
                <w:szCs w:val="21"/>
              </w:rPr>
              <w:t>个以下不得分。</w:t>
            </w:r>
          </w:p>
        </w:tc>
        <w:tc>
          <w:tcPr>
            <w:tcW w:w="4677" w:type="dxa"/>
            <w:vAlign w:val="center"/>
          </w:tcPr>
          <w:p>
            <w:pPr>
              <w:spacing w:line="360" w:lineRule="exac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填写关键人士过往业绩表并由个人签署确认（参照样表提供）；</w:t>
            </w:r>
          </w:p>
          <w:p>
            <w:pPr>
              <w:spacing w:line="360" w:lineRule="exact"/>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w:t>
            </w:r>
            <w:r>
              <w:rPr>
                <w:rFonts w:hint="eastAsia" w:ascii="宋体" w:hAnsi="宋体" w:eastAsia="宋体" w:cs="宋体"/>
                <w:szCs w:val="21"/>
              </w:rPr>
              <w:t>关键人士过往业绩证明文件：投资协议、投决会材料、投资机构盖章说明等。（如管理团队业绩证明材料中已包含的不用重复提供）；</w:t>
            </w:r>
          </w:p>
          <w:p>
            <w:pPr>
              <w:spacing w:line="360" w:lineRule="exact"/>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投资收益证明文件：每支基金最近年度经第三方审计的财务报告、估值报告、托管报告或其他形式证明文件；</w:t>
            </w:r>
          </w:p>
          <w:p>
            <w:pPr>
              <w:spacing w:line="360" w:lineRule="exac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投资项目成功IPO数量证明文件：项目投资决策文件、招股说明书或其他形式证明文件。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trPr>
        <w:tc>
          <w:tcPr>
            <w:tcW w:w="14413" w:type="dxa"/>
            <w:gridSpan w:val="5"/>
            <w:shd w:val="clear" w:color="auto" w:fill="auto"/>
            <w:vAlign w:val="center"/>
          </w:tcPr>
          <w:p>
            <w:pPr>
              <w:spacing w:line="360" w:lineRule="exact"/>
              <w:rPr>
                <w:rFonts w:ascii="宋体" w:hAnsi="宋体" w:eastAsia="宋体" w:cs="宋体"/>
                <w:b/>
                <w:bCs/>
                <w:szCs w:val="21"/>
              </w:rPr>
            </w:pPr>
            <w:r>
              <w:rPr>
                <w:rFonts w:hint="eastAsia" w:ascii="宋体" w:hAnsi="宋体" w:eastAsia="宋体" w:cs="宋体"/>
                <w:b/>
                <w:bCs/>
                <w:szCs w:val="21"/>
              </w:rPr>
              <w:t>二、出资能力（2</w:t>
            </w:r>
            <w:r>
              <w:rPr>
                <w:rFonts w:ascii="宋体" w:hAnsi="宋体" w:eastAsia="宋体" w:cs="宋体"/>
                <w:b/>
                <w:bCs/>
                <w:szCs w:val="21"/>
              </w:rPr>
              <w:t>0</w:t>
            </w:r>
            <w:r>
              <w:rPr>
                <w:rFonts w:hint="eastAsia" w:ascii="宋体" w:hAnsi="宋体" w:eastAsia="宋体" w:cs="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3</w:t>
            </w:r>
          </w:p>
        </w:tc>
        <w:tc>
          <w:tcPr>
            <w:tcW w:w="3841"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管理机构及其关联主体承诺在母基金中出资比例不低于母基金总规模的10%。</w:t>
            </w:r>
          </w:p>
        </w:tc>
        <w:tc>
          <w:tcPr>
            <w:tcW w:w="709"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20</w:t>
            </w:r>
          </w:p>
        </w:tc>
        <w:tc>
          <w:tcPr>
            <w:tcW w:w="4536"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管理机构及关联主体在母基金中出资比例低于母基金总规模10%（含）不得分；1</w:t>
            </w:r>
            <w:r>
              <w:rPr>
                <w:rFonts w:ascii="宋体" w:hAnsi="宋体" w:eastAsia="宋体" w:cs="宋体"/>
                <w:szCs w:val="21"/>
              </w:rPr>
              <w:t>0%</w:t>
            </w:r>
            <w:r>
              <w:rPr>
                <w:rFonts w:hint="eastAsia" w:ascii="宋体" w:hAnsi="宋体" w:eastAsia="宋体" w:cs="宋体"/>
                <w:szCs w:val="21"/>
              </w:rPr>
              <w:t>以上，每增加1%加1分；本项</w:t>
            </w:r>
            <w:r>
              <w:rPr>
                <w:rFonts w:ascii="宋体" w:hAnsi="宋体" w:eastAsia="宋体" w:cs="宋体"/>
                <w:szCs w:val="21"/>
              </w:rPr>
              <w:t>20</w:t>
            </w:r>
            <w:r>
              <w:rPr>
                <w:rFonts w:hint="eastAsia" w:ascii="宋体" w:hAnsi="宋体" w:eastAsia="宋体" w:cs="宋体"/>
                <w:szCs w:val="21"/>
              </w:rPr>
              <w:t>分封顶。</w:t>
            </w:r>
          </w:p>
        </w:tc>
        <w:tc>
          <w:tcPr>
            <w:tcW w:w="4677" w:type="dxa"/>
            <w:vAlign w:val="center"/>
          </w:tcPr>
          <w:p>
            <w:pPr>
              <w:spacing w:line="360" w:lineRule="exact"/>
              <w:rPr>
                <w:rFonts w:ascii="宋体" w:hAnsi="宋体" w:eastAsia="宋体" w:cs="宋体"/>
                <w:szCs w:val="21"/>
              </w:rPr>
            </w:pPr>
            <w:r>
              <w:rPr>
                <w:rFonts w:hint="eastAsia" w:ascii="宋体" w:hAnsi="宋体" w:eastAsia="宋体" w:cs="宋体"/>
                <w:szCs w:val="21"/>
              </w:rPr>
              <w:t>管理机构及关联主体出具自有资金出资证明文件、出资承诺书。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13" w:type="dxa"/>
            <w:gridSpan w:val="5"/>
            <w:shd w:val="clear" w:color="auto" w:fill="auto"/>
            <w:vAlign w:val="center"/>
          </w:tcPr>
          <w:p>
            <w:pPr>
              <w:spacing w:line="360" w:lineRule="exact"/>
              <w:rPr>
                <w:rFonts w:ascii="宋体" w:hAnsi="宋体" w:eastAsia="宋体" w:cs="宋体"/>
                <w:b/>
                <w:bCs/>
                <w:szCs w:val="21"/>
              </w:rPr>
            </w:pPr>
            <w:r>
              <w:rPr>
                <w:rFonts w:hint="eastAsia" w:ascii="宋体" w:hAnsi="宋体" w:eastAsia="宋体" w:cs="宋体"/>
                <w:b/>
                <w:bCs/>
                <w:szCs w:val="21"/>
              </w:rPr>
              <w:t>三、产业整合能力（3</w:t>
            </w:r>
            <w:r>
              <w:rPr>
                <w:rFonts w:ascii="宋体" w:hAnsi="宋体" w:eastAsia="宋体" w:cs="宋体"/>
                <w:b/>
                <w:bCs/>
                <w:szCs w:val="21"/>
              </w:rPr>
              <w:t>5</w:t>
            </w:r>
            <w:r>
              <w:rPr>
                <w:rFonts w:hint="eastAsia" w:ascii="宋体" w:hAnsi="宋体" w:eastAsia="宋体" w:cs="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4"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4</w:t>
            </w:r>
          </w:p>
        </w:tc>
        <w:tc>
          <w:tcPr>
            <w:tcW w:w="3841"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产业资源背景：管理机构或其所在集团具有与南通重点发展的六大重点产业集群、战略性新兴产业、未来产业相契合的产业资源背景。</w:t>
            </w:r>
          </w:p>
          <w:p>
            <w:pPr>
              <w:spacing w:line="360" w:lineRule="exact"/>
              <w:rPr>
                <w:rFonts w:ascii="宋体" w:hAnsi="宋体" w:eastAsia="宋体" w:cs="宋体"/>
                <w:szCs w:val="21"/>
              </w:rPr>
            </w:pPr>
          </w:p>
        </w:tc>
        <w:tc>
          <w:tcPr>
            <w:tcW w:w="709"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4536" w:type="dxa"/>
            <w:shd w:val="clear" w:color="auto" w:fill="auto"/>
            <w:vAlign w:val="center"/>
          </w:tcPr>
          <w:p>
            <w:pPr>
              <w:spacing w:line="360" w:lineRule="exac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具备上述产业上市公司背景：管理机构控股股东、控股股东的控股子公司或管理机构控股企业为上市公司的，每家得0</w:t>
            </w:r>
            <w:r>
              <w:rPr>
                <w:rFonts w:ascii="宋体" w:hAnsi="宋体" w:eastAsia="宋体" w:cs="宋体"/>
                <w:color w:val="000000"/>
                <w:kern w:val="0"/>
                <w:szCs w:val="21"/>
                <w:lang w:bidi="ar"/>
              </w:rPr>
              <w:t>.2</w:t>
            </w:r>
            <w:r>
              <w:rPr>
                <w:rFonts w:hint="eastAsia" w:ascii="宋体" w:hAnsi="宋体" w:eastAsia="宋体" w:cs="宋体"/>
                <w:color w:val="000000"/>
                <w:kern w:val="0"/>
                <w:szCs w:val="21"/>
                <w:lang w:bidi="ar"/>
              </w:rPr>
              <w:t>分；</w:t>
            </w:r>
          </w:p>
          <w:p>
            <w:pPr>
              <w:spacing w:line="360" w:lineRule="exac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具备上述产业实体企业背景：管理机构控股股东、控股股东的控股子公司或管理机构控股企业资产规模5</w:t>
            </w:r>
            <w:r>
              <w:rPr>
                <w:rFonts w:ascii="宋体" w:hAnsi="宋体" w:eastAsia="宋体" w:cs="宋体"/>
                <w:color w:val="000000"/>
                <w:kern w:val="0"/>
                <w:szCs w:val="21"/>
                <w:lang w:bidi="ar"/>
              </w:rPr>
              <w:t>0</w:t>
            </w:r>
            <w:r>
              <w:rPr>
                <w:rFonts w:hint="eastAsia" w:ascii="宋体" w:hAnsi="宋体" w:eastAsia="宋体" w:cs="宋体"/>
                <w:color w:val="000000"/>
                <w:kern w:val="0"/>
                <w:szCs w:val="21"/>
                <w:lang w:bidi="ar"/>
              </w:rPr>
              <w:t>亿元（含）以上的，每家得</w:t>
            </w:r>
            <w:r>
              <w:rPr>
                <w:rFonts w:ascii="宋体" w:hAnsi="宋体" w:eastAsia="宋体" w:cs="宋体"/>
                <w:color w:val="000000"/>
                <w:kern w:val="0"/>
                <w:szCs w:val="21"/>
                <w:lang w:bidi="ar"/>
              </w:rPr>
              <w:t>0.2</w:t>
            </w:r>
            <w:r>
              <w:rPr>
                <w:rFonts w:hint="eastAsia" w:ascii="宋体" w:hAnsi="宋体" w:eastAsia="宋体" w:cs="宋体"/>
                <w:color w:val="000000"/>
                <w:kern w:val="0"/>
                <w:szCs w:val="21"/>
                <w:lang w:bidi="ar"/>
              </w:rPr>
              <w:t>分；</w:t>
            </w:r>
          </w:p>
          <w:p>
            <w:pPr>
              <w:spacing w:line="360" w:lineRule="exact"/>
              <w:rPr>
                <w:rFonts w:ascii="宋体" w:hAnsi="宋体" w:eastAsia="宋体" w:cs="宋体"/>
                <w:color w:val="000000"/>
                <w:kern w:val="0"/>
                <w:szCs w:val="21"/>
                <w:lang w:bidi="ar"/>
              </w:rPr>
            </w:pPr>
            <w:r>
              <w:rPr>
                <w:rFonts w:hint="eastAsia" w:ascii="宋体" w:hAnsi="宋体" w:eastAsia="宋体" w:cs="宋体"/>
                <w:kern w:val="0"/>
                <w:szCs w:val="21"/>
                <w:lang w:bidi="ar"/>
              </w:rPr>
              <w:t>3</w:t>
            </w:r>
            <w:r>
              <w:rPr>
                <w:rFonts w:ascii="宋体" w:hAnsi="宋体" w:eastAsia="宋体" w:cs="宋体"/>
                <w:kern w:val="0"/>
                <w:szCs w:val="21"/>
                <w:lang w:bidi="ar"/>
              </w:rPr>
              <w:t>.</w:t>
            </w:r>
            <w:r>
              <w:rPr>
                <w:rFonts w:hint="eastAsia" w:ascii="宋体" w:hAnsi="宋体" w:eastAsia="宋体" w:cs="宋体"/>
                <w:kern w:val="0"/>
                <w:szCs w:val="21"/>
                <w:lang w:bidi="ar"/>
              </w:rPr>
              <w:t>每个产业</w:t>
            </w:r>
            <w:r>
              <w:rPr>
                <w:rFonts w:ascii="宋体" w:hAnsi="宋体" w:eastAsia="宋体" w:cs="宋体"/>
                <w:kern w:val="0"/>
                <w:szCs w:val="21"/>
                <w:lang w:bidi="ar"/>
              </w:rPr>
              <w:t>1</w:t>
            </w:r>
            <w:r>
              <w:rPr>
                <w:rFonts w:hint="eastAsia" w:ascii="宋体" w:hAnsi="宋体" w:eastAsia="宋体" w:cs="宋体"/>
                <w:kern w:val="0"/>
                <w:szCs w:val="21"/>
                <w:lang w:bidi="ar"/>
              </w:rPr>
              <w:t>分封顶，本项</w:t>
            </w:r>
            <w:r>
              <w:rPr>
                <w:rFonts w:ascii="宋体" w:hAnsi="宋体" w:eastAsia="宋体" w:cs="宋体"/>
                <w:kern w:val="0"/>
                <w:szCs w:val="21"/>
                <w:lang w:bidi="ar"/>
              </w:rPr>
              <w:t>10</w:t>
            </w:r>
            <w:r>
              <w:rPr>
                <w:rFonts w:hint="eastAsia" w:ascii="宋体" w:hAnsi="宋体" w:eastAsia="宋体" w:cs="宋体"/>
                <w:kern w:val="0"/>
                <w:szCs w:val="21"/>
                <w:lang w:bidi="ar"/>
              </w:rPr>
              <w:t>分封顶。</w:t>
            </w:r>
          </w:p>
        </w:tc>
        <w:tc>
          <w:tcPr>
            <w:tcW w:w="4677" w:type="dxa"/>
            <w:vAlign w:val="center"/>
          </w:tcPr>
          <w:p>
            <w:pPr>
              <w:spacing w:line="360" w:lineRule="exac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控股企业工商登记材料；</w:t>
            </w:r>
          </w:p>
          <w:p>
            <w:pPr>
              <w:spacing w:line="360" w:lineRule="exac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控股企业情况简介，包括基本情况、所属行业及行业中所处位置、主营业务及竞争优势、上市情况等。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650" w:type="dxa"/>
            <w:vAlign w:val="center"/>
          </w:tcPr>
          <w:p>
            <w:pPr>
              <w:spacing w:line="360" w:lineRule="exact"/>
              <w:jc w:val="center"/>
              <w:rPr>
                <w:rFonts w:ascii="宋体" w:hAnsi="宋体" w:eastAsia="宋体" w:cs="宋体"/>
                <w:szCs w:val="21"/>
              </w:rPr>
            </w:pPr>
            <w:r>
              <w:rPr>
                <w:rFonts w:ascii="宋体" w:hAnsi="宋体" w:eastAsia="宋体" w:cs="宋体"/>
                <w:szCs w:val="21"/>
              </w:rPr>
              <w:t>5</w:t>
            </w:r>
          </w:p>
        </w:tc>
        <w:tc>
          <w:tcPr>
            <w:tcW w:w="3841"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产业引领能力：管理团队具有对国内相关产业头部企业、龙头上市公司投资经历，并能在南通战略性新兴产业布局和产业链强链补链延链中发挥作用；管理团队具备招引总部落户、推动央企或省属重点企业合作、提供上市或并购重组金融服务等能力。</w:t>
            </w:r>
          </w:p>
        </w:tc>
        <w:tc>
          <w:tcPr>
            <w:tcW w:w="709"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5</w:t>
            </w:r>
          </w:p>
        </w:tc>
        <w:tc>
          <w:tcPr>
            <w:tcW w:w="4536"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color w:val="000000"/>
                <w:kern w:val="0"/>
                <w:szCs w:val="21"/>
                <w:lang w:bidi="ar"/>
              </w:rPr>
              <w:t>由</w:t>
            </w:r>
            <w:r>
              <w:rPr>
                <w:rFonts w:hint="eastAsia" w:ascii="宋体" w:hAnsi="宋体" w:eastAsia="宋体" w:cs="宋体"/>
                <w:szCs w:val="21"/>
              </w:rPr>
              <w:t>专家综合打分。优秀的得</w:t>
            </w:r>
            <w:r>
              <w:rPr>
                <w:rFonts w:ascii="宋体" w:hAnsi="宋体" w:eastAsia="宋体" w:cs="宋体"/>
                <w:szCs w:val="21"/>
              </w:rPr>
              <w:t>10</w:t>
            </w:r>
            <w:r>
              <w:rPr>
                <w:rFonts w:hint="eastAsia" w:ascii="宋体" w:hAnsi="宋体" w:eastAsia="宋体" w:cs="宋体"/>
                <w:szCs w:val="21"/>
              </w:rPr>
              <w:t>-</w:t>
            </w:r>
            <w:r>
              <w:rPr>
                <w:rFonts w:ascii="宋体" w:hAnsi="宋体" w:eastAsia="宋体" w:cs="宋体"/>
                <w:szCs w:val="21"/>
              </w:rPr>
              <w:t>15</w:t>
            </w:r>
            <w:r>
              <w:rPr>
                <w:rFonts w:hint="eastAsia" w:ascii="宋体" w:hAnsi="宋体" w:eastAsia="宋体" w:cs="宋体"/>
                <w:szCs w:val="21"/>
              </w:rPr>
              <w:t>分；良好的得5-</w:t>
            </w:r>
            <w:r>
              <w:rPr>
                <w:rFonts w:ascii="宋体" w:hAnsi="宋体" w:eastAsia="宋体" w:cs="宋体"/>
                <w:szCs w:val="21"/>
              </w:rPr>
              <w:t>10</w:t>
            </w:r>
            <w:r>
              <w:rPr>
                <w:rFonts w:hint="eastAsia" w:ascii="宋体" w:hAnsi="宋体" w:eastAsia="宋体" w:cs="宋体"/>
                <w:szCs w:val="21"/>
              </w:rPr>
              <w:t>分（含）；一般的得0-</w:t>
            </w:r>
            <w:r>
              <w:rPr>
                <w:rFonts w:ascii="宋体" w:hAnsi="宋体" w:eastAsia="宋体" w:cs="宋体"/>
                <w:szCs w:val="21"/>
              </w:rPr>
              <w:t>5</w:t>
            </w:r>
            <w:r>
              <w:rPr>
                <w:rFonts w:hint="eastAsia" w:ascii="宋体" w:hAnsi="宋体" w:eastAsia="宋体" w:cs="宋体"/>
                <w:szCs w:val="21"/>
              </w:rPr>
              <w:t>分（含）。</w:t>
            </w:r>
          </w:p>
        </w:tc>
        <w:tc>
          <w:tcPr>
            <w:tcW w:w="4677" w:type="dxa"/>
            <w:vAlign w:val="center"/>
          </w:tcPr>
          <w:p>
            <w:pPr>
              <w:widowControl/>
              <w:textAlignment w:val="center"/>
              <w:rPr>
                <w:rFonts w:ascii="宋体" w:hAnsi="宋体" w:eastAsia="宋体" w:cs="宋体"/>
                <w:szCs w:val="21"/>
              </w:rPr>
            </w:pPr>
            <w:r>
              <w:rPr>
                <w:rFonts w:hint="eastAsia" w:ascii="宋体" w:hAnsi="宋体" w:eastAsia="宋体" w:cs="宋体"/>
                <w:szCs w:val="21"/>
              </w:rPr>
              <w:t>1.提交书面文件资料，主要阐述：（1）过往投资相关产业链项目案例，及利用自身产业资源对南通相关产业链的赋能计划；（2）拟推动落地的产业项目、企业总部、拟提供的金融服务等。</w:t>
            </w:r>
          </w:p>
          <w:p>
            <w:pPr>
              <w:widowControl/>
              <w:textAlignment w:val="center"/>
              <w:rPr>
                <w:rFonts w:ascii="Calibri" w:hAnsi="Calibri" w:eastAsia="宋体" w:cs="Times New Roman"/>
                <w:szCs w:val="24"/>
                <w:lang w:bidi="ar"/>
              </w:rPr>
            </w:pPr>
            <w:r>
              <w:rPr>
                <w:rFonts w:ascii="宋体" w:hAnsi="宋体" w:eastAsia="宋体" w:cs="宋体"/>
                <w:szCs w:val="21"/>
              </w:rPr>
              <w:t>2.</w:t>
            </w:r>
            <w:r>
              <w:rPr>
                <w:rFonts w:hint="eastAsia" w:ascii="宋体" w:hAnsi="宋体" w:eastAsia="宋体" w:cs="宋体"/>
                <w:szCs w:val="21"/>
              </w:rPr>
              <w:t>由专家对申报机构提问，申报机构现场答辩。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trPr>
        <w:tc>
          <w:tcPr>
            <w:tcW w:w="650" w:type="dxa"/>
            <w:vAlign w:val="center"/>
          </w:tcPr>
          <w:p>
            <w:pPr>
              <w:spacing w:line="360" w:lineRule="exact"/>
              <w:jc w:val="center"/>
              <w:rPr>
                <w:rFonts w:ascii="宋体" w:hAnsi="宋体" w:eastAsia="宋体" w:cs="宋体"/>
                <w:szCs w:val="21"/>
              </w:rPr>
            </w:pPr>
            <w:r>
              <w:rPr>
                <w:rFonts w:ascii="宋体" w:hAnsi="宋体" w:eastAsia="宋体" w:cs="宋体"/>
                <w:szCs w:val="21"/>
              </w:rPr>
              <w:t>6</w:t>
            </w:r>
          </w:p>
        </w:tc>
        <w:tc>
          <w:tcPr>
            <w:tcW w:w="3841" w:type="dxa"/>
            <w:shd w:val="clear" w:color="auto" w:fill="auto"/>
            <w:vAlign w:val="center"/>
          </w:tcPr>
          <w:p>
            <w:pPr>
              <w:widowControl/>
              <w:textAlignment w:val="center"/>
              <w:rPr>
                <w:rFonts w:ascii="宋体" w:hAnsi="宋体" w:eastAsia="宋体" w:cs="宋体"/>
                <w:szCs w:val="21"/>
              </w:rPr>
            </w:pPr>
            <w:r>
              <w:rPr>
                <w:rFonts w:ascii="宋体" w:hAnsi="宋体" w:eastAsia="宋体" w:cs="宋体"/>
                <w:color w:val="000000"/>
                <w:szCs w:val="21"/>
                <w:lang w:bidi="ar"/>
              </w:rPr>
              <w:t>招商能力：管理团队有为政府及园区招引产业类项目落地的经验。</w:t>
            </w:r>
          </w:p>
        </w:tc>
        <w:tc>
          <w:tcPr>
            <w:tcW w:w="709" w:type="dxa"/>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4536" w:type="dxa"/>
            <w:shd w:val="clear" w:color="auto" w:fill="auto"/>
            <w:vAlign w:val="center"/>
          </w:tcPr>
          <w:p>
            <w:pPr>
              <w:widowControl/>
              <w:textAlignment w:val="center"/>
              <w:rPr>
                <w:rFonts w:ascii="宋体" w:hAnsi="宋体" w:eastAsia="宋体" w:cs="宋体"/>
                <w:color w:val="000000"/>
                <w:kern w:val="0"/>
                <w:szCs w:val="21"/>
                <w:lang w:bidi="ar"/>
              </w:rPr>
            </w:pPr>
            <w:r>
              <w:rPr>
                <w:rFonts w:hint="eastAsia" w:ascii="宋体" w:hAnsi="宋体" w:eastAsia="宋体" w:cs="宋体"/>
                <w:szCs w:val="21"/>
              </w:rPr>
              <w:t>招引产业类项目落地，单项目总投资5亿元（含）以上，每个得</w:t>
            </w:r>
            <w:r>
              <w:rPr>
                <w:rFonts w:ascii="宋体" w:hAnsi="宋体" w:eastAsia="宋体" w:cs="宋体"/>
                <w:szCs w:val="21"/>
              </w:rPr>
              <w:t>3</w:t>
            </w:r>
            <w:r>
              <w:rPr>
                <w:rFonts w:hint="eastAsia" w:ascii="宋体" w:hAnsi="宋体" w:eastAsia="宋体" w:cs="宋体"/>
                <w:szCs w:val="21"/>
              </w:rPr>
              <w:t>分；1亿元（含）</w:t>
            </w:r>
            <w:r>
              <w:rPr>
                <w:rFonts w:ascii="宋体" w:hAnsi="宋体" w:eastAsia="宋体" w:cs="宋体"/>
                <w:szCs w:val="21"/>
              </w:rPr>
              <w:t>-5</w:t>
            </w:r>
            <w:r>
              <w:rPr>
                <w:rFonts w:hint="eastAsia" w:ascii="宋体" w:hAnsi="宋体" w:eastAsia="宋体" w:cs="宋体"/>
                <w:szCs w:val="21"/>
              </w:rPr>
              <w:t>亿元，每个得2分；1亿元以下，每个得</w:t>
            </w:r>
            <w:r>
              <w:rPr>
                <w:rFonts w:ascii="宋体" w:hAnsi="宋体" w:eastAsia="宋体" w:cs="宋体"/>
                <w:szCs w:val="21"/>
              </w:rPr>
              <w:t>1</w:t>
            </w:r>
            <w:r>
              <w:rPr>
                <w:rFonts w:hint="eastAsia" w:ascii="宋体" w:hAnsi="宋体" w:eastAsia="宋体" w:cs="宋体"/>
                <w:szCs w:val="21"/>
              </w:rPr>
              <w:t>分；</w:t>
            </w:r>
            <w:r>
              <w:rPr>
                <w:rFonts w:hint="eastAsia" w:ascii="宋体" w:hAnsi="宋体" w:eastAsia="宋体" w:cs="宋体"/>
                <w:kern w:val="0"/>
                <w:szCs w:val="21"/>
                <w:lang w:bidi="ar"/>
              </w:rPr>
              <w:t>本项1</w:t>
            </w:r>
            <w:r>
              <w:rPr>
                <w:rFonts w:ascii="宋体" w:hAnsi="宋体" w:eastAsia="宋体" w:cs="宋体"/>
                <w:kern w:val="0"/>
                <w:szCs w:val="21"/>
                <w:lang w:bidi="ar"/>
              </w:rPr>
              <w:t>0</w:t>
            </w:r>
            <w:r>
              <w:rPr>
                <w:rFonts w:hint="eastAsia" w:ascii="宋体" w:hAnsi="宋体" w:eastAsia="宋体" w:cs="宋体"/>
                <w:kern w:val="0"/>
                <w:szCs w:val="21"/>
                <w:lang w:bidi="ar"/>
              </w:rPr>
              <w:t>分封顶。</w:t>
            </w:r>
          </w:p>
        </w:tc>
        <w:tc>
          <w:tcPr>
            <w:tcW w:w="4677" w:type="dxa"/>
            <w:shd w:val="clear" w:color="auto" w:fill="auto"/>
            <w:vAlign w:val="center"/>
          </w:tcPr>
          <w:p>
            <w:pPr>
              <w:widowControl/>
              <w:textAlignment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w:t>
            </w:r>
            <w:r>
              <w:rPr>
                <w:rFonts w:hint="eastAsia" w:ascii="宋体" w:hAnsi="宋体" w:eastAsia="宋体" w:cs="宋体"/>
                <w:szCs w:val="21"/>
              </w:rPr>
              <w:t>项目</w:t>
            </w:r>
            <w:r>
              <w:rPr>
                <w:rFonts w:hint="eastAsia" w:ascii="宋体" w:hAnsi="宋体" w:eastAsia="宋体" w:cs="宋体"/>
                <w:color w:val="000000"/>
                <w:kern w:val="0"/>
                <w:szCs w:val="21"/>
                <w:lang w:bidi="ar"/>
              </w:rPr>
              <w:t>情况简介，包括基本情况、投资规划、落地方案等，并由项目方加盖公章；</w:t>
            </w:r>
          </w:p>
          <w:p>
            <w:pPr>
              <w:widowControl/>
              <w:textAlignment w:val="center"/>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落地区域县级以上人民政府或省级以上园区管委会盖章说明或其他落地证明文件。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413" w:type="dxa"/>
            <w:gridSpan w:val="5"/>
            <w:shd w:val="clear" w:color="auto" w:fill="auto"/>
            <w:vAlign w:val="center"/>
          </w:tcPr>
          <w:p>
            <w:pPr>
              <w:spacing w:line="360" w:lineRule="exact"/>
              <w:rPr>
                <w:rFonts w:ascii="宋体" w:hAnsi="宋体" w:eastAsia="宋体" w:cs="宋体"/>
                <w:b/>
                <w:bCs/>
                <w:szCs w:val="21"/>
              </w:rPr>
            </w:pPr>
            <w:r>
              <w:rPr>
                <w:rFonts w:hint="eastAsia" w:ascii="宋体" w:hAnsi="宋体" w:eastAsia="宋体" w:cs="宋体"/>
                <w:b/>
                <w:bCs/>
                <w:szCs w:val="21"/>
              </w:rPr>
              <w:t>四、其他（1</w:t>
            </w:r>
            <w:r>
              <w:rPr>
                <w:rFonts w:ascii="宋体" w:hAnsi="宋体" w:eastAsia="宋体" w:cs="宋体"/>
                <w:b/>
                <w:bCs/>
                <w:szCs w:val="21"/>
              </w:rPr>
              <w:t>5</w:t>
            </w:r>
            <w:r>
              <w:rPr>
                <w:rFonts w:hint="eastAsia" w:ascii="宋体" w:hAnsi="宋体" w:eastAsia="宋体" w:cs="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3"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7</w:t>
            </w:r>
          </w:p>
        </w:tc>
        <w:tc>
          <w:tcPr>
            <w:tcW w:w="3841" w:type="dxa"/>
            <w:shd w:val="clear" w:color="auto" w:fill="auto"/>
            <w:vAlign w:val="center"/>
          </w:tcPr>
          <w:p>
            <w:pPr>
              <w:spacing w:line="360" w:lineRule="exact"/>
              <w:rPr>
                <w:rFonts w:ascii="宋体" w:hAnsi="宋体" w:eastAsia="宋体" w:cs="宋体"/>
                <w:szCs w:val="21"/>
              </w:rPr>
            </w:pPr>
            <w:r>
              <w:rPr>
                <w:rFonts w:ascii="宋体" w:hAnsi="宋体" w:eastAsia="宋体" w:cs="宋体"/>
                <w:color w:val="000000"/>
                <w:szCs w:val="21"/>
                <w:lang w:bidi="ar"/>
              </w:rPr>
              <w:t>管理团队有与海外投资机构合作经历，或者有引入海外资本的能力。</w:t>
            </w:r>
          </w:p>
        </w:tc>
        <w:tc>
          <w:tcPr>
            <w:tcW w:w="709"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4</w:t>
            </w:r>
          </w:p>
        </w:tc>
        <w:tc>
          <w:tcPr>
            <w:tcW w:w="4536" w:type="dxa"/>
            <w:shd w:val="clear" w:color="auto" w:fill="auto"/>
            <w:vAlign w:val="center"/>
          </w:tcPr>
          <w:p>
            <w:pPr>
              <w:spacing w:line="360" w:lineRule="exact"/>
              <w:rPr>
                <w:rFonts w:ascii="宋体" w:hAnsi="宋体" w:eastAsia="宋体" w:cs="宋体"/>
                <w:color w:val="000000"/>
                <w:szCs w:val="21"/>
                <w:lang w:bidi="ar"/>
              </w:rPr>
            </w:pPr>
            <w:r>
              <w:rPr>
                <w:rFonts w:ascii="宋体" w:hAnsi="宋体" w:eastAsia="宋体" w:cs="宋体"/>
                <w:color w:val="000000"/>
                <w:szCs w:val="21"/>
                <w:lang w:bidi="ar"/>
              </w:rPr>
              <w:t>1.管理团队有与海外投资机构合作经历的得1分；</w:t>
            </w:r>
          </w:p>
          <w:p>
            <w:pPr>
              <w:spacing w:line="360" w:lineRule="exact"/>
              <w:rPr>
                <w:rFonts w:ascii="宋体" w:hAnsi="宋体" w:eastAsia="宋体" w:cs="宋体"/>
                <w:szCs w:val="24"/>
              </w:rPr>
            </w:pPr>
            <w:r>
              <w:rPr>
                <w:rFonts w:ascii="宋体" w:hAnsi="宋体" w:eastAsia="宋体" w:cs="宋体"/>
                <w:color w:val="000000"/>
                <w:szCs w:val="21"/>
                <w:lang w:bidi="ar"/>
              </w:rPr>
              <w:t>2.管理团队过往有引入海外资本的经验</w:t>
            </w:r>
            <w:r>
              <w:rPr>
                <w:rFonts w:hint="eastAsia" w:ascii="宋体" w:hAnsi="宋体" w:eastAsia="宋体" w:cs="宋体"/>
                <w:szCs w:val="21"/>
              </w:rPr>
              <w:t>，且实缴</w:t>
            </w:r>
            <w:r>
              <w:rPr>
                <w:rFonts w:ascii="宋体" w:hAnsi="宋体" w:eastAsia="宋体" w:cs="宋体"/>
                <w:szCs w:val="21"/>
              </w:rPr>
              <w:t>2000</w:t>
            </w:r>
            <w:r>
              <w:rPr>
                <w:rFonts w:hint="eastAsia" w:ascii="宋体" w:hAnsi="宋体" w:eastAsia="宋体" w:cs="宋体"/>
                <w:szCs w:val="21"/>
              </w:rPr>
              <w:t>万美元（含）以上等值货币的得1分；</w:t>
            </w:r>
          </w:p>
          <w:p>
            <w:pPr>
              <w:spacing w:line="360" w:lineRule="exact"/>
              <w:rPr>
                <w:rFonts w:ascii="宋体" w:hAnsi="宋体" w:eastAsia="宋体" w:cs="宋体"/>
                <w:szCs w:val="21"/>
              </w:rPr>
            </w:pPr>
            <w:r>
              <w:rPr>
                <w:rFonts w:ascii="宋体" w:hAnsi="宋体" w:eastAsia="宋体" w:cs="宋体"/>
                <w:color w:val="000000"/>
                <w:szCs w:val="21"/>
                <w:lang w:bidi="ar"/>
              </w:rPr>
              <w:t>3.管理团队已储备拟引入的海外资本，认缴2000万美元（含）以上等值货币的得2分。</w:t>
            </w:r>
          </w:p>
        </w:tc>
        <w:tc>
          <w:tcPr>
            <w:tcW w:w="4677" w:type="dxa"/>
            <w:vAlign w:val="center"/>
          </w:tcPr>
          <w:p>
            <w:pPr>
              <w:spacing w:line="360" w:lineRule="exact"/>
              <w:rPr>
                <w:rFonts w:ascii="宋体" w:hAnsi="宋体" w:eastAsia="宋体" w:cs="宋体"/>
                <w:color w:val="000000"/>
                <w:szCs w:val="21"/>
                <w:lang w:bidi="ar"/>
              </w:rPr>
            </w:pPr>
            <w:r>
              <w:rPr>
                <w:rFonts w:ascii="宋体" w:hAnsi="宋体" w:eastAsia="宋体" w:cs="宋体"/>
                <w:color w:val="000000"/>
                <w:szCs w:val="21"/>
                <w:lang w:bidi="ar"/>
              </w:rPr>
              <w:t>1.已签订的合作协议或其他证明文件；</w:t>
            </w:r>
          </w:p>
          <w:p>
            <w:pPr>
              <w:spacing w:line="360" w:lineRule="exact"/>
              <w:rPr>
                <w:rFonts w:ascii="宋体" w:hAnsi="宋体" w:eastAsia="宋体" w:cs="宋体"/>
                <w:color w:val="000000"/>
                <w:szCs w:val="21"/>
                <w:lang w:bidi="ar"/>
              </w:rPr>
            </w:pPr>
            <w:r>
              <w:rPr>
                <w:rFonts w:ascii="宋体" w:hAnsi="宋体" w:eastAsia="宋体" w:cs="宋体"/>
                <w:color w:val="000000"/>
                <w:szCs w:val="21"/>
                <w:lang w:bidi="ar"/>
              </w:rPr>
              <w:t>2.过往引入海外资本实缴银行回单、验资报告等；</w:t>
            </w:r>
          </w:p>
          <w:p>
            <w:pPr>
              <w:spacing w:line="360" w:lineRule="exact"/>
              <w:rPr>
                <w:rFonts w:ascii="宋体" w:hAnsi="宋体" w:eastAsia="宋体" w:cs="宋体"/>
                <w:szCs w:val="21"/>
              </w:rPr>
            </w:pPr>
            <w:r>
              <w:rPr>
                <w:rFonts w:ascii="宋体" w:hAnsi="宋体" w:eastAsia="宋体" w:cs="宋体"/>
                <w:color w:val="000000"/>
                <w:szCs w:val="21"/>
                <w:lang w:bidi="ar"/>
              </w:rPr>
              <w:t>3.拟引入海外资本出资承诺函并加盖海外投资机构公章。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650" w:type="dxa"/>
            <w:vAlign w:val="center"/>
          </w:tcPr>
          <w:p>
            <w:pPr>
              <w:spacing w:line="360" w:lineRule="exact"/>
              <w:jc w:val="center"/>
              <w:rPr>
                <w:rFonts w:ascii="宋体" w:hAnsi="宋体" w:eastAsia="宋体" w:cs="宋体"/>
                <w:szCs w:val="21"/>
              </w:rPr>
            </w:pPr>
            <w:r>
              <w:rPr>
                <w:rFonts w:ascii="宋体" w:hAnsi="宋体" w:eastAsia="宋体" w:cs="宋体"/>
                <w:szCs w:val="21"/>
              </w:rPr>
              <w:t>8</w:t>
            </w:r>
          </w:p>
        </w:tc>
        <w:tc>
          <w:tcPr>
            <w:tcW w:w="3841"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基金管理费报价。</w:t>
            </w:r>
          </w:p>
        </w:tc>
        <w:tc>
          <w:tcPr>
            <w:tcW w:w="709"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5</w:t>
            </w:r>
          </w:p>
        </w:tc>
        <w:tc>
          <w:tcPr>
            <w:tcW w:w="4536"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母子基金管理费合计超过母基金实缴出资总额（或未退出成本）2.3%/年（含）不得分；2.3%/年以下，每减少0.1%加1分；本项</w:t>
            </w:r>
            <w:r>
              <w:rPr>
                <w:rFonts w:ascii="宋体" w:hAnsi="宋体" w:eastAsia="宋体" w:cs="宋体"/>
                <w:szCs w:val="21"/>
              </w:rPr>
              <w:t>5</w:t>
            </w:r>
            <w:r>
              <w:rPr>
                <w:rFonts w:hint="eastAsia" w:ascii="宋体" w:hAnsi="宋体" w:eastAsia="宋体" w:cs="宋体"/>
                <w:szCs w:val="21"/>
              </w:rPr>
              <w:t>分封顶。</w:t>
            </w:r>
          </w:p>
        </w:tc>
        <w:tc>
          <w:tcPr>
            <w:tcW w:w="4677" w:type="dxa"/>
            <w:vAlign w:val="center"/>
          </w:tcPr>
          <w:p>
            <w:pPr>
              <w:spacing w:line="360" w:lineRule="exact"/>
              <w:rPr>
                <w:rFonts w:ascii="宋体" w:hAnsi="宋体" w:eastAsia="宋体" w:cs="宋体"/>
                <w:szCs w:val="21"/>
              </w:rPr>
            </w:pPr>
            <w:r>
              <w:rPr>
                <w:rFonts w:hint="eastAsia" w:ascii="宋体" w:hAnsi="宋体" w:eastAsia="宋体" w:cs="宋体"/>
                <w:szCs w:val="21"/>
              </w:rPr>
              <w:t>管理机构说明文件并加盖公章。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650" w:type="dxa"/>
            <w:vAlign w:val="center"/>
          </w:tcPr>
          <w:p>
            <w:pPr>
              <w:spacing w:line="360" w:lineRule="exact"/>
              <w:jc w:val="center"/>
              <w:rPr>
                <w:rFonts w:ascii="宋体" w:hAnsi="宋体" w:eastAsia="宋体" w:cs="宋体"/>
                <w:szCs w:val="21"/>
              </w:rPr>
            </w:pPr>
            <w:r>
              <w:rPr>
                <w:rFonts w:ascii="宋体" w:hAnsi="宋体" w:eastAsia="宋体" w:cs="宋体"/>
                <w:szCs w:val="21"/>
              </w:rPr>
              <w:t>9</w:t>
            </w:r>
          </w:p>
        </w:tc>
        <w:tc>
          <w:tcPr>
            <w:tcW w:w="3841"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基金总存续期。</w:t>
            </w:r>
          </w:p>
        </w:tc>
        <w:tc>
          <w:tcPr>
            <w:tcW w:w="709" w:type="dxa"/>
            <w:shd w:val="clear" w:color="auto" w:fill="auto"/>
            <w:vAlign w:val="center"/>
          </w:tcPr>
          <w:p>
            <w:pPr>
              <w:spacing w:line="360" w:lineRule="exact"/>
              <w:jc w:val="center"/>
              <w:rPr>
                <w:rFonts w:ascii="宋体" w:hAnsi="宋体" w:eastAsia="宋体" w:cs="宋体"/>
                <w:szCs w:val="21"/>
              </w:rPr>
            </w:pPr>
            <w:r>
              <w:rPr>
                <w:rFonts w:ascii="宋体" w:hAnsi="宋体" w:eastAsia="宋体" w:cs="宋体"/>
                <w:szCs w:val="21"/>
              </w:rPr>
              <w:t>2</w:t>
            </w:r>
          </w:p>
        </w:tc>
        <w:tc>
          <w:tcPr>
            <w:tcW w:w="4536"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基金总存续期超过1</w:t>
            </w:r>
            <w:r>
              <w:rPr>
                <w:rFonts w:ascii="宋体" w:hAnsi="宋体" w:eastAsia="宋体" w:cs="宋体"/>
                <w:szCs w:val="21"/>
              </w:rPr>
              <w:t>5</w:t>
            </w:r>
            <w:r>
              <w:rPr>
                <w:rFonts w:hint="eastAsia" w:ascii="宋体" w:hAnsi="宋体" w:eastAsia="宋体" w:cs="宋体"/>
                <w:szCs w:val="21"/>
              </w:rPr>
              <w:t>年（含）不得分；总存续期</w:t>
            </w:r>
            <w:r>
              <w:rPr>
                <w:rFonts w:ascii="宋体" w:hAnsi="宋体" w:eastAsia="宋体" w:cs="宋体"/>
                <w:szCs w:val="21"/>
              </w:rPr>
              <w:t>14</w:t>
            </w:r>
            <w:r>
              <w:rPr>
                <w:rFonts w:hint="eastAsia" w:ascii="宋体" w:hAnsi="宋体" w:eastAsia="宋体" w:cs="宋体"/>
                <w:szCs w:val="21"/>
              </w:rPr>
              <w:t>年得0</w:t>
            </w:r>
            <w:r>
              <w:rPr>
                <w:rFonts w:ascii="宋体" w:hAnsi="宋体" w:eastAsia="宋体" w:cs="宋体"/>
                <w:szCs w:val="21"/>
              </w:rPr>
              <w:t>.5</w:t>
            </w:r>
            <w:r>
              <w:rPr>
                <w:rFonts w:hint="eastAsia" w:ascii="宋体" w:hAnsi="宋体" w:eastAsia="宋体" w:cs="宋体"/>
                <w:szCs w:val="21"/>
              </w:rPr>
              <w:t>分，总存续期</w:t>
            </w:r>
            <w:r>
              <w:rPr>
                <w:rFonts w:ascii="宋体" w:hAnsi="宋体" w:eastAsia="宋体" w:cs="宋体"/>
                <w:szCs w:val="21"/>
              </w:rPr>
              <w:t>13</w:t>
            </w:r>
            <w:r>
              <w:rPr>
                <w:rFonts w:hint="eastAsia" w:ascii="宋体" w:hAnsi="宋体" w:eastAsia="宋体" w:cs="宋体"/>
                <w:szCs w:val="21"/>
              </w:rPr>
              <w:t>年得</w:t>
            </w:r>
            <w:r>
              <w:rPr>
                <w:rFonts w:ascii="宋体" w:hAnsi="宋体" w:eastAsia="宋体" w:cs="宋体"/>
                <w:szCs w:val="21"/>
              </w:rPr>
              <w:t>1</w:t>
            </w:r>
            <w:r>
              <w:rPr>
                <w:rFonts w:hint="eastAsia" w:ascii="宋体" w:hAnsi="宋体" w:eastAsia="宋体" w:cs="宋体"/>
                <w:szCs w:val="21"/>
              </w:rPr>
              <w:t>分，总存续期1</w:t>
            </w:r>
            <w:r>
              <w:rPr>
                <w:rFonts w:ascii="宋体" w:hAnsi="宋体" w:eastAsia="宋体" w:cs="宋体"/>
                <w:szCs w:val="21"/>
              </w:rPr>
              <w:t>2</w:t>
            </w:r>
            <w:r>
              <w:rPr>
                <w:rFonts w:hint="eastAsia" w:ascii="宋体" w:hAnsi="宋体" w:eastAsia="宋体" w:cs="宋体"/>
                <w:szCs w:val="21"/>
              </w:rPr>
              <w:t>年及以下得</w:t>
            </w:r>
            <w:r>
              <w:rPr>
                <w:rFonts w:ascii="宋体" w:hAnsi="宋体" w:eastAsia="宋体" w:cs="宋体"/>
                <w:szCs w:val="21"/>
              </w:rPr>
              <w:t>2</w:t>
            </w:r>
            <w:r>
              <w:rPr>
                <w:rFonts w:hint="eastAsia" w:ascii="宋体" w:hAnsi="宋体" w:eastAsia="宋体" w:cs="宋体"/>
                <w:szCs w:val="21"/>
              </w:rPr>
              <w:t>分；本项</w:t>
            </w:r>
            <w:r>
              <w:rPr>
                <w:rFonts w:ascii="宋体" w:hAnsi="宋体" w:eastAsia="宋体" w:cs="宋体"/>
                <w:szCs w:val="21"/>
              </w:rPr>
              <w:t>2</w:t>
            </w:r>
            <w:r>
              <w:rPr>
                <w:rFonts w:hint="eastAsia" w:ascii="宋体" w:hAnsi="宋体" w:eastAsia="宋体" w:cs="宋体"/>
                <w:szCs w:val="21"/>
              </w:rPr>
              <w:t>分封顶。</w:t>
            </w:r>
          </w:p>
        </w:tc>
        <w:tc>
          <w:tcPr>
            <w:tcW w:w="4677" w:type="dxa"/>
            <w:vAlign w:val="center"/>
          </w:tcPr>
          <w:p>
            <w:pPr>
              <w:spacing w:line="360" w:lineRule="exact"/>
              <w:rPr>
                <w:rFonts w:ascii="宋体" w:hAnsi="宋体" w:eastAsia="宋体" w:cs="宋体"/>
                <w:szCs w:val="21"/>
              </w:rPr>
            </w:pPr>
            <w:r>
              <w:rPr>
                <w:rFonts w:hint="eastAsia" w:ascii="宋体" w:hAnsi="宋体" w:eastAsia="宋体" w:cs="宋体"/>
                <w:szCs w:val="21"/>
              </w:rPr>
              <w:t>管理机构出具承诺函，承诺合伙协议中约定相应延期违约条款并加盖公章。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650"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3841"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管理机构诉求。</w:t>
            </w:r>
          </w:p>
        </w:tc>
        <w:tc>
          <w:tcPr>
            <w:tcW w:w="709" w:type="dxa"/>
            <w:shd w:val="clear" w:color="auto" w:fill="auto"/>
            <w:vAlign w:val="center"/>
          </w:tcPr>
          <w:p>
            <w:pPr>
              <w:spacing w:line="360" w:lineRule="exact"/>
              <w:jc w:val="center"/>
              <w:rPr>
                <w:rFonts w:ascii="宋体" w:hAnsi="宋体" w:eastAsia="宋体" w:cs="宋体"/>
                <w:szCs w:val="21"/>
              </w:rPr>
            </w:pPr>
            <w:r>
              <w:rPr>
                <w:rFonts w:hint="eastAsia" w:ascii="宋体" w:hAnsi="宋体" w:eastAsia="宋体" w:cs="宋体"/>
                <w:szCs w:val="21"/>
              </w:rPr>
              <w:t>4</w:t>
            </w:r>
          </w:p>
        </w:tc>
        <w:tc>
          <w:tcPr>
            <w:tcW w:w="4536" w:type="dxa"/>
            <w:shd w:val="clear" w:color="auto" w:fill="auto"/>
            <w:vAlign w:val="center"/>
          </w:tcPr>
          <w:p>
            <w:pPr>
              <w:spacing w:line="360" w:lineRule="exact"/>
              <w:rPr>
                <w:rFonts w:ascii="宋体" w:hAnsi="宋体" w:eastAsia="宋体" w:cs="宋体"/>
                <w:szCs w:val="21"/>
              </w:rPr>
            </w:pPr>
            <w:r>
              <w:rPr>
                <w:rFonts w:hint="eastAsia" w:ascii="宋体" w:hAnsi="宋体" w:eastAsia="宋体" w:cs="宋体"/>
                <w:szCs w:val="21"/>
              </w:rPr>
              <w:t>管理机构要求所管理金额不高于管理机构及其关联主体在母基金中的出资金额的，得4分；管理机构要求管理金额高于出资金额的，每增加10%减1分。（管理金额是指管理机构所管子基金中母基金出资金额的合计数）</w:t>
            </w:r>
          </w:p>
        </w:tc>
        <w:tc>
          <w:tcPr>
            <w:tcW w:w="4677" w:type="dxa"/>
            <w:vAlign w:val="center"/>
          </w:tcPr>
          <w:p>
            <w:pPr>
              <w:spacing w:line="360" w:lineRule="exact"/>
              <w:rPr>
                <w:rFonts w:ascii="宋体" w:hAnsi="宋体" w:eastAsia="宋体" w:cs="宋体"/>
                <w:szCs w:val="21"/>
              </w:rPr>
            </w:pPr>
            <w:r>
              <w:rPr>
                <w:rFonts w:hint="eastAsia" w:ascii="宋体" w:hAnsi="宋体" w:eastAsia="宋体" w:cs="宋体"/>
                <w:szCs w:val="21"/>
              </w:rPr>
              <w:t>管理机构说明文件并加盖公章。</w:t>
            </w:r>
          </w:p>
        </w:tc>
      </w:tr>
    </w:tbl>
    <w:p>
      <w:pPr>
        <w:widowControl/>
        <w:jc w:val="left"/>
        <w:rPr>
          <w:rFonts w:ascii="Calibri" w:hAnsi="Calibri" w:eastAsia="宋体" w:cs="Times New Roman"/>
          <w:szCs w:val="24"/>
        </w:rPr>
      </w:pPr>
      <w:r>
        <w:rPr>
          <w:rFonts w:ascii="Calibri" w:hAnsi="Calibri" w:eastAsia="宋体" w:cs="Times New Roman"/>
          <w:szCs w:val="24"/>
        </w:rPr>
        <w:br w:type="page"/>
      </w:r>
    </w:p>
    <w:tbl>
      <w:tblPr>
        <w:tblStyle w:val="7"/>
        <w:tblW w:w="14516" w:type="dxa"/>
        <w:tblInd w:w="-238" w:type="dxa"/>
        <w:tblLayout w:type="fixed"/>
        <w:tblCellMar>
          <w:top w:w="0" w:type="dxa"/>
          <w:left w:w="108" w:type="dxa"/>
          <w:bottom w:w="0" w:type="dxa"/>
          <w:right w:w="108" w:type="dxa"/>
        </w:tblCellMar>
      </w:tblPr>
      <w:tblGrid>
        <w:gridCol w:w="1008"/>
        <w:gridCol w:w="952"/>
        <w:gridCol w:w="1162"/>
        <w:gridCol w:w="840"/>
        <w:gridCol w:w="686"/>
        <w:gridCol w:w="770"/>
        <w:gridCol w:w="489"/>
        <w:gridCol w:w="525"/>
        <w:gridCol w:w="759"/>
        <w:gridCol w:w="397"/>
        <w:gridCol w:w="443"/>
        <w:gridCol w:w="397"/>
        <w:gridCol w:w="469"/>
        <w:gridCol w:w="578"/>
        <w:gridCol w:w="443"/>
        <w:gridCol w:w="578"/>
        <w:gridCol w:w="479"/>
        <w:gridCol w:w="462"/>
        <w:gridCol w:w="394"/>
        <w:gridCol w:w="445"/>
        <w:gridCol w:w="504"/>
        <w:gridCol w:w="616"/>
        <w:gridCol w:w="462"/>
        <w:gridCol w:w="658"/>
      </w:tblGrid>
      <w:tr>
        <w:tblPrEx>
          <w:tblCellMar>
            <w:top w:w="0" w:type="dxa"/>
            <w:left w:w="108" w:type="dxa"/>
            <w:bottom w:w="0" w:type="dxa"/>
            <w:right w:w="108" w:type="dxa"/>
          </w:tblCellMar>
        </w:tblPrEx>
        <w:trPr>
          <w:trHeight w:val="730" w:hRule="atLeast"/>
        </w:trPr>
        <w:tc>
          <w:tcPr>
            <w:tcW w:w="14516" w:type="dxa"/>
            <w:gridSpan w:val="24"/>
            <w:tcBorders>
              <w:top w:val="nil"/>
              <w:left w:val="nil"/>
              <w:bottom w:val="nil"/>
              <w:right w:val="nil"/>
            </w:tcBorders>
            <w:shd w:val="clear" w:color="auto" w:fill="auto"/>
            <w:vAlign w:val="center"/>
          </w:tcPr>
          <w:p>
            <w:pPr>
              <w:widowControl/>
              <w:jc w:val="left"/>
              <w:rPr>
                <w:rFonts w:ascii="宋体" w:hAnsi="宋体" w:eastAsia="宋体" w:cs="仿宋_GB2312"/>
                <w:sz w:val="28"/>
                <w:szCs w:val="28"/>
              </w:rPr>
            </w:pPr>
            <w:r>
              <w:rPr>
                <w:rFonts w:hint="eastAsia" w:ascii="宋体" w:hAnsi="宋体" w:eastAsia="宋体" w:cs="仿宋_GB2312"/>
                <w:sz w:val="28"/>
                <w:szCs w:val="28"/>
              </w:rPr>
              <w:t>附件：1</w:t>
            </w:r>
            <w:r>
              <w:rPr>
                <w:rFonts w:ascii="宋体" w:hAnsi="宋体" w:eastAsia="宋体" w:cs="仿宋_GB2312"/>
                <w:sz w:val="28"/>
                <w:szCs w:val="28"/>
              </w:rPr>
              <w:t>-3</w:t>
            </w:r>
          </w:p>
          <w:p>
            <w:pPr>
              <w:widowControl/>
              <w:jc w:val="center"/>
              <w:rPr>
                <w:rFonts w:ascii="宋体" w:hAnsi="宋体" w:eastAsia="宋体" w:cs="宋体"/>
                <w:b/>
                <w:bCs/>
                <w:kern w:val="0"/>
                <w:szCs w:val="21"/>
              </w:rPr>
            </w:pPr>
            <w:r>
              <w:rPr>
                <w:rFonts w:hint="eastAsia" w:ascii="宋体" w:hAnsi="宋体" w:eastAsia="宋体" w:cs="宋体"/>
                <w:b/>
                <w:bCs/>
                <w:kern w:val="0"/>
                <w:szCs w:val="21"/>
              </w:rPr>
              <w:t>过往管理基金业绩表（样表）</w:t>
            </w:r>
            <w:r>
              <w:rPr>
                <w:rFonts w:hint="eastAsia" w:ascii="宋体" w:hAnsi="宋体" w:eastAsia="宋体" w:cs="宋体"/>
                <w:b/>
                <w:bCs/>
                <w:kern w:val="0"/>
                <w:szCs w:val="21"/>
              </w:rPr>
              <w:br w:type="textWrapping"/>
            </w:r>
            <w:r>
              <w:rPr>
                <w:rFonts w:hint="eastAsia" w:ascii="宋体" w:hAnsi="宋体" w:eastAsia="宋体" w:cs="宋体"/>
                <w:kern w:val="0"/>
                <w:szCs w:val="21"/>
              </w:rPr>
              <w:t>（截止2023年12月31日）</w:t>
            </w:r>
          </w:p>
        </w:tc>
      </w:tr>
      <w:tr>
        <w:tblPrEx>
          <w:tblCellMar>
            <w:top w:w="0" w:type="dxa"/>
            <w:left w:w="108" w:type="dxa"/>
            <w:bottom w:w="0" w:type="dxa"/>
            <w:right w:w="108" w:type="dxa"/>
          </w:tblCellMar>
        </w:tblPrEx>
        <w:trPr>
          <w:trHeight w:val="330" w:hRule="atLeast"/>
        </w:trPr>
        <w:tc>
          <w:tcPr>
            <w:tcW w:w="14516" w:type="dxa"/>
            <w:gridSpan w:val="24"/>
            <w:tcBorders>
              <w:top w:val="nil"/>
              <w:left w:val="nil"/>
              <w:bottom w:val="single" w:color="auto" w:sz="4" w:space="0"/>
              <w:right w:val="nil"/>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单位：万元</w:t>
            </w:r>
          </w:p>
        </w:tc>
      </w:tr>
      <w:tr>
        <w:tblPrEx>
          <w:tblCellMar>
            <w:top w:w="0" w:type="dxa"/>
            <w:left w:w="108" w:type="dxa"/>
            <w:bottom w:w="0" w:type="dxa"/>
            <w:right w:w="108" w:type="dxa"/>
          </w:tblCellMar>
        </w:tblPrEx>
        <w:trPr>
          <w:trHeight w:val="710" w:hRule="atLeast"/>
        </w:trPr>
        <w:tc>
          <w:tcPr>
            <w:tcW w:w="1008"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基金名称</w:t>
            </w:r>
          </w:p>
        </w:tc>
        <w:tc>
          <w:tcPr>
            <w:tcW w:w="952"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设立时间</w:t>
            </w:r>
          </w:p>
        </w:tc>
        <w:tc>
          <w:tcPr>
            <w:tcW w:w="1162"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经营期限</w:t>
            </w:r>
          </w:p>
        </w:tc>
        <w:tc>
          <w:tcPr>
            <w:tcW w:w="840"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基金管理人、GP</w:t>
            </w:r>
          </w:p>
        </w:tc>
        <w:tc>
          <w:tcPr>
            <w:tcW w:w="686"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基金投向</w:t>
            </w:r>
          </w:p>
        </w:tc>
        <w:tc>
          <w:tcPr>
            <w:tcW w:w="770"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是否</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投资期</w:t>
            </w:r>
          </w:p>
        </w:tc>
        <w:tc>
          <w:tcPr>
            <w:tcW w:w="489"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认缴规模</w:t>
            </w:r>
          </w:p>
        </w:tc>
        <w:tc>
          <w:tcPr>
            <w:tcW w:w="525"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实缴规模</w:t>
            </w:r>
          </w:p>
        </w:tc>
        <w:tc>
          <w:tcPr>
            <w:tcW w:w="759"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主要出资人（LP）</w:t>
            </w:r>
          </w:p>
        </w:tc>
        <w:tc>
          <w:tcPr>
            <w:tcW w:w="397" w:type="dxa"/>
            <w:vMerge w:val="restart"/>
            <w:tcBorders>
              <w:top w:val="nil"/>
              <w:left w:val="single" w:color="auto" w:sz="4" w:space="0"/>
              <w:bottom w:val="single" w:color="auto" w:sz="4" w:space="0"/>
              <w:right w:val="single" w:color="auto" w:sz="4" w:space="0"/>
            </w:tcBorders>
            <w:shd w:val="clear" w:color="000000" w:fill="9BC2E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累计已投资项目个数</w:t>
            </w:r>
          </w:p>
        </w:tc>
        <w:tc>
          <w:tcPr>
            <w:tcW w:w="443" w:type="dxa"/>
            <w:vMerge w:val="restart"/>
            <w:tcBorders>
              <w:top w:val="nil"/>
              <w:left w:val="single" w:color="auto" w:sz="4" w:space="0"/>
              <w:bottom w:val="single" w:color="auto" w:sz="4" w:space="0"/>
              <w:right w:val="single" w:color="auto" w:sz="4" w:space="0"/>
            </w:tcBorders>
            <w:shd w:val="clear" w:color="000000" w:fill="9BC2E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累计已投资项目金额</w:t>
            </w:r>
          </w:p>
        </w:tc>
        <w:tc>
          <w:tcPr>
            <w:tcW w:w="2465" w:type="dxa"/>
            <w:gridSpan w:val="5"/>
            <w:tcBorders>
              <w:top w:val="single" w:color="auto" w:sz="4" w:space="0"/>
              <w:left w:val="nil"/>
              <w:bottom w:val="single" w:color="auto" w:sz="4" w:space="0"/>
              <w:right w:val="single" w:color="000000" w:sz="4" w:space="0"/>
            </w:tcBorders>
            <w:shd w:val="clear" w:color="000000" w:fill="BDD7EE"/>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已实现业绩情况</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（仅限已退出项目）</w:t>
            </w:r>
          </w:p>
        </w:tc>
        <w:tc>
          <w:tcPr>
            <w:tcW w:w="941" w:type="dxa"/>
            <w:gridSpan w:val="2"/>
            <w:tcBorders>
              <w:top w:val="single" w:color="auto" w:sz="4" w:space="0"/>
              <w:left w:val="nil"/>
              <w:bottom w:val="single" w:color="auto" w:sz="4" w:space="0"/>
              <w:right w:val="single" w:color="auto" w:sz="4" w:space="0"/>
            </w:tcBorders>
            <w:shd w:val="clear" w:color="000000" w:fill="D9E1F2"/>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待实现业绩情况</w:t>
            </w:r>
          </w:p>
        </w:tc>
        <w:tc>
          <w:tcPr>
            <w:tcW w:w="839" w:type="dxa"/>
            <w:gridSpan w:val="2"/>
            <w:tcBorders>
              <w:top w:val="single" w:color="auto" w:sz="4" w:space="0"/>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基金IRR</w:t>
            </w:r>
          </w:p>
        </w:tc>
        <w:tc>
          <w:tcPr>
            <w:tcW w:w="504"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基金DPI</w:t>
            </w:r>
          </w:p>
        </w:tc>
        <w:tc>
          <w:tcPr>
            <w:tcW w:w="616" w:type="dxa"/>
            <w:vMerge w:val="restart"/>
            <w:tcBorders>
              <w:top w:val="single" w:color="auto" w:sz="4" w:space="0"/>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备注</w:t>
            </w:r>
            <w:r>
              <w:rPr>
                <w:rFonts w:hint="eastAsia" w:ascii="宋体" w:hAnsi="宋体" w:eastAsia="宋体" w:cs="宋体"/>
                <w:b/>
                <w:bCs/>
                <w:kern w:val="0"/>
                <w:sz w:val="18"/>
                <w:szCs w:val="18"/>
              </w:rPr>
              <w:br w:type="textWrapping"/>
            </w:r>
            <w:r>
              <w:rPr>
                <w:rFonts w:hint="eastAsia" w:ascii="宋体" w:hAnsi="宋体" w:eastAsia="宋体" w:cs="宋体"/>
                <w:kern w:val="0"/>
                <w:sz w:val="18"/>
                <w:szCs w:val="18"/>
              </w:rPr>
              <w:t>（基金基石投资人、特殊约定等）</w:t>
            </w:r>
          </w:p>
        </w:tc>
        <w:tc>
          <w:tcPr>
            <w:tcW w:w="462"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是否母基金</w:t>
            </w:r>
          </w:p>
        </w:tc>
        <w:tc>
          <w:tcPr>
            <w:tcW w:w="658" w:type="dxa"/>
            <w:vMerge w:val="restart"/>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团队相关人员及所担任职务</w:t>
            </w:r>
          </w:p>
        </w:tc>
      </w:tr>
      <w:tr>
        <w:tblPrEx>
          <w:tblCellMar>
            <w:top w:w="0" w:type="dxa"/>
            <w:left w:w="108" w:type="dxa"/>
            <w:bottom w:w="0" w:type="dxa"/>
            <w:right w:w="108" w:type="dxa"/>
          </w:tblCellMar>
        </w:tblPrEx>
        <w:trPr>
          <w:trHeight w:val="990" w:hRule="atLeast"/>
        </w:trPr>
        <w:tc>
          <w:tcPr>
            <w:tcW w:w="100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95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116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68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77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48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525"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75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39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44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397" w:type="dxa"/>
            <w:tcBorders>
              <w:top w:val="nil"/>
              <w:left w:val="nil"/>
              <w:bottom w:val="single" w:color="auto" w:sz="4" w:space="0"/>
              <w:right w:val="single" w:color="auto" w:sz="4" w:space="0"/>
            </w:tcBorders>
            <w:shd w:val="clear" w:color="000000" w:fill="BDD7EE"/>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退出项目个数</w:t>
            </w:r>
          </w:p>
        </w:tc>
        <w:tc>
          <w:tcPr>
            <w:tcW w:w="469" w:type="dxa"/>
            <w:tcBorders>
              <w:top w:val="nil"/>
              <w:left w:val="nil"/>
              <w:bottom w:val="single" w:color="auto" w:sz="4" w:space="0"/>
              <w:right w:val="single" w:color="auto" w:sz="4" w:space="0"/>
            </w:tcBorders>
            <w:shd w:val="clear" w:color="000000" w:fill="BDD7EE"/>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退出本金</w:t>
            </w:r>
          </w:p>
        </w:tc>
        <w:tc>
          <w:tcPr>
            <w:tcW w:w="578" w:type="dxa"/>
            <w:tcBorders>
              <w:top w:val="nil"/>
              <w:left w:val="nil"/>
              <w:bottom w:val="single" w:color="auto" w:sz="4" w:space="0"/>
              <w:right w:val="single" w:color="auto" w:sz="4" w:space="0"/>
            </w:tcBorders>
            <w:shd w:val="clear" w:color="000000" w:fill="BDD7EE"/>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退出收益</w:t>
            </w:r>
            <w:r>
              <w:rPr>
                <w:rFonts w:hint="eastAsia" w:ascii="宋体" w:hAnsi="宋体" w:eastAsia="宋体" w:cs="宋体"/>
                <w:b/>
                <w:bCs/>
                <w:kern w:val="0"/>
                <w:sz w:val="18"/>
                <w:szCs w:val="18"/>
              </w:rPr>
              <w:br w:type="textWrapping"/>
            </w:r>
            <w:r>
              <w:rPr>
                <w:rFonts w:hint="eastAsia" w:ascii="宋体" w:hAnsi="宋体" w:eastAsia="宋体" w:cs="宋体"/>
                <w:kern w:val="0"/>
                <w:sz w:val="18"/>
                <w:szCs w:val="18"/>
              </w:rPr>
              <w:t>（不含分红及本金回收）</w:t>
            </w:r>
          </w:p>
        </w:tc>
        <w:tc>
          <w:tcPr>
            <w:tcW w:w="443" w:type="dxa"/>
            <w:tcBorders>
              <w:top w:val="nil"/>
              <w:left w:val="nil"/>
              <w:bottom w:val="single" w:color="auto" w:sz="4" w:space="0"/>
              <w:right w:val="single" w:color="auto" w:sz="4" w:space="0"/>
            </w:tcBorders>
            <w:shd w:val="clear" w:color="000000" w:fill="BDD7EE"/>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累计已回收金额</w:t>
            </w:r>
          </w:p>
        </w:tc>
        <w:tc>
          <w:tcPr>
            <w:tcW w:w="578" w:type="dxa"/>
            <w:tcBorders>
              <w:top w:val="nil"/>
              <w:left w:val="nil"/>
              <w:bottom w:val="single" w:color="auto" w:sz="4" w:space="0"/>
              <w:right w:val="single" w:color="auto" w:sz="4" w:space="0"/>
            </w:tcBorders>
            <w:shd w:val="clear" w:color="000000" w:fill="DDEBF7"/>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其中：累计已分配合伙人金额</w:t>
            </w:r>
          </w:p>
        </w:tc>
        <w:tc>
          <w:tcPr>
            <w:tcW w:w="479" w:type="dxa"/>
            <w:tcBorders>
              <w:top w:val="nil"/>
              <w:left w:val="nil"/>
              <w:bottom w:val="single" w:color="auto" w:sz="4" w:space="0"/>
              <w:right w:val="single" w:color="auto" w:sz="4" w:space="0"/>
            </w:tcBorders>
            <w:shd w:val="clear" w:color="000000" w:fill="D9E1F2"/>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投资成本</w:t>
            </w:r>
          </w:p>
        </w:tc>
        <w:tc>
          <w:tcPr>
            <w:tcW w:w="462" w:type="dxa"/>
            <w:tcBorders>
              <w:top w:val="nil"/>
              <w:left w:val="nil"/>
              <w:bottom w:val="single" w:color="auto" w:sz="4" w:space="0"/>
              <w:right w:val="single" w:color="auto" w:sz="4" w:space="0"/>
            </w:tcBorders>
            <w:shd w:val="clear" w:color="000000" w:fill="D9E1F2"/>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投资估值</w:t>
            </w:r>
          </w:p>
        </w:tc>
        <w:tc>
          <w:tcPr>
            <w:tcW w:w="394"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毛收益率</w:t>
            </w:r>
          </w:p>
        </w:tc>
        <w:tc>
          <w:tcPr>
            <w:tcW w:w="445"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净收益率</w:t>
            </w:r>
          </w:p>
        </w:tc>
        <w:tc>
          <w:tcPr>
            <w:tcW w:w="504"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46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c>
          <w:tcPr>
            <w:tcW w:w="658"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18"/>
                <w:szCs w:val="18"/>
              </w:rPr>
            </w:pPr>
          </w:p>
        </w:tc>
      </w:tr>
      <w:tr>
        <w:tblPrEx>
          <w:tblCellMar>
            <w:top w:w="0" w:type="dxa"/>
            <w:left w:w="108" w:type="dxa"/>
            <w:bottom w:w="0" w:type="dxa"/>
            <w:right w:w="108" w:type="dxa"/>
          </w:tblCellMar>
        </w:tblPrEx>
        <w:trPr>
          <w:trHeight w:val="66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示例：XX(有限合伙）</w:t>
            </w: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r>
              <w:rPr>
                <w:rFonts w:ascii="宋体" w:hAnsi="宋体" w:eastAsia="宋体" w:cs="宋体"/>
                <w:kern w:val="0"/>
                <w:sz w:val="18"/>
                <w:szCs w:val="18"/>
              </w:rPr>
              <w:t>XX</w:t>
            </w:r>
            <w:r>
              <w:rPr>
                <w:rFonts w:hint="eastAsia" w:ascii="宋体" w:hAnsi="宋体" w:eastAsia="宋体" w:cs="宋体"/>
                <w:kern w:val="0"/>
                <w:sz w:val="18"/>
                <w:szCs w:val="18"/>
              </w:rPr>
              <w:t>/</w:t>
            </w:r>
            <w:r>
              <w:rPr>
                <w:rFonts w:ascii="宋体" w:hAnsi="宋体" w:eastAsia="宋体" w:cs="宋体"/>
                <w:kern w:val="0"/>
                <w:sz w:val="18"/>
                <w:szCs w:val="18"/>
              </w:rPr>
              <w:t>X</w:t>
            </w:r>
            <w:r>
              <w:rPr>
                <w:rFonts w:hint="eastAsia" w:ascii="宋体" w:hAnsi="宋体" w:eastAsia="宋体" w:cs="宋体"/>
                <w:kern w:val="0"/>
                <w:sz w:val="18"/>
                <w:szCs w:val="18"/>
              </w:rPr>
              <w:t>/</w:t>
            </w:r>
            <w:r>
              <w:rPr>
                <w:rFonts w:ascii="宋体" w:hAnsi="宋体" w:eastAsia="宋体" w:cs="宋体"/>
                <w:kern w:val="0"/>
                <w:sz w:val="18"/>
                <w:szCs w:val="18"/>
              </w:rPr>
              <w:t>X</w:t>
            </w:r>
          </w:p>
        </w:tc>
        <w:tc>
          <w:tcPr>
            <w:tcW w:w="1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3（投资期）+2（退出期）+2（延长期，如有）</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7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张三(基金投委)</w:t>
            </w:r>
          </w:p>
        </w:tc>
      </w:tr>
      <w:tr>
        <w:tblPrEx>
          <w:tblCellMar>
            <w:top w:w="0" w:type="dxa"/>
            <w:left w:w="108" w:type="dxa"/>
            <w:bottom w:w="0" w:type="dxa"/>
            <w:right w:w="108" w:type="dxa"/>
          </w:tblCellMar>
        </w:tblPrEx>
        <w:trPr>
          <w:trHeight w:val="3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1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7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0"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11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7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3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30" w:hRule="atLeast"/>
        </w:trPr>
        <w:tc>
          <w:tcPr>
            <w:tcW w:w="5418"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合计</w:t>
            </w:r>
          </w:p>
        </w:tc>
        <w:tc>
          <w:tcPr>
            <w:tcW w:w="4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5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7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3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39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46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44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5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47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4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1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4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p>
        </w:tc>
        <w:tc>
          <w:tcPr>
            <w:tcW w:w="6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r>
    </w:tbl>
    <w:p>
      <w:pPr>
        <w:widowControl/>
        <w:jc w:val="left"/>
        <w:rPr>
          <w:rFonts w:ascii="Calibri" w:hAnsi="Calibri" w:eastAsia="宋体" w:cs="Times New Roman"/>
          <w:szCs w:val="24"/>
        </w:rPr>
      </w:pPr>
      <w:r>
        <w:rPr>
          <w:rFonts w:hint="eastAsia" w:ascii="Calibri" w:hAnsi="Calibri" w:eastAsia="宋体" w:cs="Times New Roman"/>
          <w:szCs w:val="24"/>
        </w:rPr>
        <w:t>注：估值请标注数据来源。</w:t>
      </w:r>
      <w:r>
        <w:rPr>
          <w:rFonts w:ascii="Calibri" w:hAnsi="Calibri" w:eastAsia="宋体" w:cs="Times New Roman"/>
          <w:szCs w:val="24"/>
        </w:rPr>
        <w:br w:type="page"/>
      </w:r>
    </w:p>
    <w:tbl>
      <w:tblPr>
        <w:tblStyle w:val="7"/>
        <w:tblW w:w="14684" w:type="dxa"/>
        <w:tblInd w:w="-350" w:type="dxa"/>
        <w:tblLayout w:type="fixed"/>
        <w:tblCellMar>
          <w:top w:w="0" w:type="dxa"/>
          <w:left w:w="108" w:type="dxa"/>
          <w:bottom w:w="0" w:type="dxa"/>
          <w:right w:w="108" w:type="dxa"/>
        </w:tblCellMar>
      </w:tblPr>
      <w:tblGrid>
        <w:gridCol w:w="977"/>
        <w:gridCol w:w="404"/>
        <w:gridCol w:w="724"/>
        <w:gridCol w:w="598"/>
        <w:gridCol w:w="599"/>
        <w:gridCol w:w="599"/>
        <w:gridCol w:w="598"/>
        <w:gridCol w:w="599"/>
        <w:gridCol w:w="599"/>
        <w:gridCol w:w="598"/>
        <w:gridCol w:w="599"/>
        <w:gridCol w:w="599"/>
        <w:gridCol w:w="599"/>
        <w:gridCol w:w="599"/>
        <w:gridCol w:w="599"/>
        <w:gridCol w:w="598"/>
        <w:gridCol w:w="599"/>
        <w:gridCol w:w="599"/>
        <w:gridCol w:w="598"/>
        <w:gridCol w:w="599"/>
        <w:gridCol w:w="599"/>
        <w:gridCol w:w="598"/>
        <w:gridCol w:w="602"/>
        <w:gridCol w:w="567"/>
        <w:gridCol w:w="35"/>
      </w:tblGrid>
      <w:tr>
        <w:tblPrEx>
          <w:tblCellMar>
            <w:top w:w="0" w:type="dxa"/>
            <w:left w:w="108" w:type="dxa"/>
            <w:bottom w:w="0" w:type="dxa"/>
            <w:right w:w="108" w:type="dxa"/>
          </w:tblCellMar>
        </w:tblPrEx>
        <w:trPr>
          <w:gridAfter w:val="1"/>
          <w:wAfter w:w="35" w:type="dxa"/>
          <w:trHeight w:val="720" w:hRule="atLeast"/>
        </w:trPr>
        <w:tc>
          <w:tcPr>
            <w:tcW w:w="14649" w:type="dxa"/>
            <w:gridSpan w:val="24"/>
            <w:tcBorders>
              <w:top w:val="nil"/>
              <w:left w:val="nil"/>
              <w:bottom w:val="nil"/>
              <w:right w:val="nil"/>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
                <w:bCs/>
                <w:kern w:val="0"/>
                <w:szCs w:val="21"/>
              </w:rPr>
              <w:t>基金过往投资项目情况表(样表)</w:t>
            </w:r>
            <w:r>
              <w:rPr>
                <w:rFonts w:hint="eastAsia" w:ascii="宋体" w:hAnsi="宋体" w:eastAsia="宋体" w:cs="宋体"/>
                <w:kern w:val="0"/>
                <w:szCs w:val="21"/>
              </w:rPr>
              <w:br w:type="textWrapping"/>
            </w:r>
            <w:r>
              <w:rPr>
                <w:rFonts w:hint="eastAsia" w:ascii="宋体" w:hAnsi="宋体" w:eastAsia="宋体" w:cs="宋体"/>
                <w:kern w:val="0"/>
                <w:szCs w:val="21"/>
              </w:rPr>
              <w:t>（截止2023年12月31日）</w:t>
            </w:r>
          </w:p>
        </w:tc>
      </w:tr>
      <w:tr>
        <w:tblPrEx>
          <w:tblCellMar>
            <w:top w:w="0" w:type="dxa"/>
            <w:left w:w="108" w:type="dxa"/>
            <w:bottom w:w="0" w:type="dxa"/>
            <w:right w:w="108" w:type="dxa"/>
          </w:tblCellMar>
        </w:tblPrEx>
        <w:trPr>
          <w:gridAfter w:val="1"/>
          <w:wAfter w:w="35" w:type="dxa"/>
          <w:trHeight w:val="330" w:hRule="atLeast"/>
        </w:trPr>
        <w:tc>
          <w:tcPr>
            <w:tcW w:w="14649" w:type="dxa"/>
            <w:gridSpan w:val="24"/>
            <w:tcBorders>
              <w:top w:val="nil"/>
              <w:left w:val="nil"/>
              <w:bottom w:val="single" w:color="auto"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单位：万元</w:t>
            </w:r>
          </w:p>
        </w:tc>
      </w:tr>
      <w:tr>
        <w:tblPrEx>
          <w:tblCellMar>
            <w:top w:w="0" w:type="dxa"/>
            <w:left w:w="108" w:type="dxa"/>
            <w:bottom w:w="0" w:type="dxa"/>
            <w:right w:w="108" w:type="dxa"/>
          </w:tblCellMar>
        </w:tblPrEx>
        <w:trPr>
          <w:trHeight w:val="990" w:hRule="atLeast"/>
        </w:trPr>
        <w:tc>
          <w:tcPr>
            <w:tcW w:w="977" w:type="dxa"/>
            <w:tcBorders>
              <w:top w:val="nil"/>
              <w:left w:val="single" w:color="auto" w:sz="4" w:space="0"/>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投资主体</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（基金名称）</w:t>
            </w:r>
          </w:p>
        </w:tc>
        <w:tc>
          <w:tcPr>
            <w:tcW w:w="404"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724"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被投企业名称</w:t>
            </w:r>
          </w:p>
        </w:tc>
        <w:tc>
          <w:tcPr>
            <w:tcW w:w="598" w:type="dxa"/>
            <w:tcBorders>
              <w:top w:val="nil"/>
              <w:left w:val="nil"/>
              <w:bottom w:val="single" w:color="auto" w:sz="4" w:space="0"/>
              <w:right w:val="single" w:color="auto" w:sz="4" w:space="0"/>
            </w:tcBorders>
            <w:shd w:val="clear" w:color="000000" w:fill="FCE4D6"/>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项目简称</w:t>
            </w:r>
          </w:p>
        </w:tc>
        <w:tc>
          <w:tcPr>
            <w:tcW w:w="599"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所属行业</w:t>
            </w:r>
          </w:p>
        </w:tc>
        <w:tc>
          <w:tcPr>
            <w:tcW w:w="599"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投资轮次</w:t>
            </w:r>
          </w:p>
        </w:tc>
        <w:tc>
          <w:tcPr>
            <w:tcW w:w="598"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领投方/其他重要投资人</w:t>
            </w:r>
          </w:p>
        </w:tc>
        <w:tc>
          <w:tcPr>
            <w:tcW w:w="599"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初始投后估值</w:t>
            </w:r>
          </w:p>
        </w:tc>
        <w:tc>
          <w:tcPr>
            <w:tcW w:w="599"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w:t>
            </w:r>
          </w:p>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时间</w:t>
            </w:r>
          </w:p>
        </w:tc>
        <w:tc>
          <w:tcPr>
            <w:tcW w:w="598"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投资金额</w:t>
            </w:r>
          </w:p>
        </w:tc>
        <w:tc>
          <w:tcPr>
            <w:tcW w:w="599"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初始</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持股比例</w:t>
            </w:r>
          </w:p>
        </w:tc>
        <w:tc>
          <w:tcPr>
            <w:tcW w:w="599"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最新</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持股比例</w:t>
            </w:r>
          </w:p>
        </w:tc>
        <w:tc>
          <w:tcPr>
            <w:tcW w:w="599" w:type="dxa"/>
            <w:tcBorders>
              <w:top w:val="nil"/>
              <w:left w:val="nil"/>
              <w:bottom w:val="single" w:color="auto" w:sz="4" w:space="0"/>
              <w:right w:val="single" w:color="auto" w:sz="4" w:space="0"/>
            </w:tcBorders>
            <w:shd w:val="clear" w:color="000000" w:fill="FFF2CC"/>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退出本金</w:t>
            </w:r>
          </w:p>
        </w:tc>
        <w:tc>
          <w:tcPr>
            <w:tcW w:w="599" w:type="dxa"/>
            <w:tcBorders>
              <w:top w:val="nil"/>
              <w:left w:val="nil"/>
              <w:bottom w:val="single" w:color="auto" w:sz="4" w:space="0"/>
              <w:right w:val="single" w:color="auto" w:sz="4" w:space="0"/>
            </w:tcBorders>
            <w:shd w:val="clear" w:color="000000" w:fill="FFF2CC"/>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退出收益</w:t>
            </w:r>
          </w:p>
        </w:tc>
        <w:tc>
          <w:tcPr>
            <w:tcW w:w="599" w:type="dxa"/>
            <w:tcBorders>
              <w:top w:val="nil"/>
              <w:left w:val="nil"/>
              <w:bottom w:val="single" w:color="auto" w:sz="4" w:space="0"/>
              <w:right w:val="single" w:color="auto" w:sz="4" w:space="0"/>
            </w:tcBorders>
            <w:shd w:val="clear" w:color="000000" w:fill="FFF2CC"/>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累计收到分红</w:t>
            </w:r>
            <w:r>
              <w:rPr>
                <w:rFonts w:hint="eastAsia" w:ascii="宋体" w:hAnsi="宋体" w:eastAsia="宋体" w:cs="宋体"/>
                <w:b/>
                <w:bCs/>
                <w:kern w:val="0"/>
                <w:sz w:val="18"/>
                <w:szCs w:val="18"/>
              </w:rPr>
              <w:br w:type="textWrapping"/>
            </w:r>
          </w:p>
        </w:tc>
        <w:tc>
          <w:tcPr>
            <w:tcW w:w="598" w:type="dxa"/>
            <w:tcBorders>
              <w:top w:val="nil"/>
              <w:left w:val="nil"/>
              <w:bottom w:val="single" w:color="auto" w:sz="4" w:space="0"/>
              <w:right w:val="single" w:color="auto" w:sz="4" w:space="0"/>
            </w:tcBorders>
            <w:shd w:val="clear" w:color="000000" w:fill="DDEBF7"/>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剩余</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投资本金</w:t>
            </w:r>
          </w:p>
        </w:tc>
        <w:tc>
          <w:tcPr>
            <w:tcW w:w="599" w:type="dxa"/>
            <w:tcBorders>
              <w:top w:val="nil"/>
              <w:left w:val="nil"/>
              <w:bottom w:val="single" w:color="auto" w:sz="4" w:space="0"/>
              <w:right w:val="single" w:color="auto" w:sz="4" w:space="0"/>
            </w:tcBorders>
            <w:shd w:val="clear" w:color="000000" w:fill="DDEBF7"/>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持有权益</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最新估值</w:t>
            </w:r>
          </w:p>
        </w:tc>
        <w:tc>
          <w:tcPr>
            <w:tcW w:w="599" w:type="dxa"/>
            <w:tcBorders>
              <w:top w:val="nil"/>
              <w:left w:val="nil"/>
              <w:bottom w:val="single" w:color="auto" w:sz="4" w:space="0"/>
              <w:right w:val="single" w:color="auto" w:sz="4" w:space="0"/>
            </w:tcBorders>
            <w:shd w:val="clear" w:color="000000" w:fill="DDEBF7"/>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预估</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剩余投资收益</w:t>
            </w:r>
          </w:p>
        </w:tc>
        <w:tc>
          <w:tcPr>
            <w:tcW w:w="598"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项目IRR</w:t>
            </w:r>
            <w:r>
              <w:rPr>
                <w:rFonts w:hint="eastAsia" w:ascii="宋体" w:hAnsi="宋体" w:eastAsia="宋体" w:cs="宋体"/>
                <w:b/>
                <w:bCs/>
                <w:kern w:val="0"/>
                <w:sz w:val="18"/>
                <w:szCs w:val="18"/>
              </w:rPr>
              <w:br w:type="textWrapping"/>
            </w:r>
            <w:r>
              <w:rPr>
                <w:rFonts w:hint="eastAsia" w:ascii="宋体" w:hAnsi="宋体" w:eastAsia="宋体" w:cs="宋体"/>
                <w:kern w:val="0"/>
                <w:sz w:val="18"/>
                <w:szCs w:val="18"/>
              </w:rPr>
              <w:t>（按照最晚预估退出时间）</w:t>
            </w:r>
          </w:p>
        </w:tc>
        <w:tc>
          <w:tcPr>
            <w:tcW w:w="599" w:type="dxa"/>
            <w:tcBorders>
              <w:top w:val="nil"/>
              <w:left w:val="nil"/>
              <w:bottom w:val="single" w:color="auto" w:sz="4" w:space="0"/>
              <w:right w:val="single" w:color="auto" w:sz="4" w:space="0"/>
            </w:tcBorders>
            <w:shd w:val="clear" w:color="000000" w:fill="FCE4D6"/>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项目DPI</w:t>
            </w:r>
          </w:p>
        </w:tc>
        <w:tc>
          <w:tcPr>
            <w:tcW w:w="599" w:type="dxa"/>
            <w:tcBorders>
              <w:top w:val="nil"/>
              <w:left w:val="nil"/>
              <w:bottom w:val="single" w:color="auto" w:sz="4" w:space="0"/>
              <w:right w:val="single" w:color="auto" w:sz="4" w:space="0"/>
            </w:tcBorders>
            <w:shd w:val="clear" w:color="000000" w:fill="E2EFDA"/>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退出时间</w:t>
            </w:r>
          </w:p>
        </w:tc>
        <w:tc>
          <w:tcPr>
            <w:tcW w:w="598" w:type="dxa"/>
            <w:tcBorders>
              <w:top w:val="nil"/>
              <w:left w:val="nil"/>
              <w:bottom w:val="single" w:color="auto" w:sz="4" w:space="0"/>
              <w:right w:val="single" w:color="auto" w:sz="4" w:space="0"/>
            </w:tcBorders>
            <w:shd w:val="clear" w:color="000000" w:fill="E2EFDA"/>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退出方式</w:t>
            </w:r>
          </w:p>
        </w:tc>
        <w:tc>
          <w:tcPr>
            <w:tcW w:w="602" w:type="dxa"/>
            <w:tcBorders>
              <w:top w:val="nil"/>
              <w:left w:val="nil"/>
              <w:bottom w:val="single" w:color="auto" w:sz="4" w:space="0"/>
              <w:right w:val="single" w:color="auto" w:sz="4" w:space="0"/>
            </w:tcBorders>
            <w:shd w:val="clear" w:color="000000" w:fill="E2EFDA"/>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退出状态</w:t>
            </w:r>
          </w:p>
        </w:tc>
        <w:tc>
          <w:tcPr>
            <w:tcW w:w="602" w:type="dxa"/>
            <w:gridSpan w:val="2"/>
            <w:tcBorders>
              <w:top w:val="nil"/>
              <w:left w:val="nil"/>
              <w:bottom w:val="single" w:color="auto" w:sz="4" w:space="0"/>
              <w:right w:val="single" w:color="auto" w:sz="4" w:space="0"/>
            </w:tcBorders>
            <w:shd w:val="clear" w:color="000000" w:fill="E2EFDA"/>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团队相关人员及所担任职务</w:t>
            </w:r>
          </w:p>
        </w:tc>
      </w:tr>
      <w:tr>
        <w:tblPrEx>
          <w:tblCellMar>
            <w:top w:w="0" w:type="dxa"/>
            <w:left w:w="108" w:type="dxa"/>
            <w:bottom w:w="0" w:type="dxa"/>
            <w:right w:w="108" w:type="dxa"/>
          </w:tblCellMar>
        </w:tblPrEx>
        <w:trPr>
          <w:trHeight w:val="660" w:hRule="atLeast"/>
        </w:trPr>
        <w:tc>
          <w:tcPr>
            <w:tcW w:w="97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XX(有限合伙）</w:t>
            </w:r>
          </w:p>
        </w:tc>
        <w:tc>
          <w:tcPr>
            <w:tcW w:w="4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7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示例：XX公司</w:t>
            </w: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并购/股权转让</w:t>
            </w:r>
          </w:p>
        </w:tc>
        <w:tc>
          <w:tcPr>
            <w:tcW w:w="6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部分/全部退出</w:t>
            </w:r>
          </w:p>
        </w:tc>
        <w:tc>
          <w:tcPr>
            <w:tcW w:w="60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张三(项目负责人)</w:t>
            </w:r>
          </w:p>
        </w:tc>
      </w:tr>
      <w:tr>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7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0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7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0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72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r>
      <w:tr>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p>
        </w:tc>
        <w:tc>
          <w:tcPr>
            <w:tcW w:w="4720"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合计</w:t>
            </w: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5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c>
          <w:tcPr>
            <w:tcW w:w="59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8"/>
                <w:szCs w:val="18"/>
              </w:rPr>
            </w:pPr>
          </w:p>
        </w:tc>
        <w:tc>
          <w:tcPr>
            <w:tcW w:w="6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r>
    </w:tbl>
    <w:p>
      <w:pPr>
        <w:widowControl/>
        <w:jc w:val="left"/>
        <w:rPr>
          <w:rFonts w:ascii="Times New Roman" w:hAnsi="Times New Roman" w:eastAsia="仿宋_GB2312" w:cs="Times New Roman"/>
          <w:kern w:val="0"/>
          <w:sz w:val="32"/>
          <w:szCs w:val="32"/>
        </w:rPr>
      </w:pPr>
      <w:r>
        <w:rPr>
          <w:rFonts w:hint="eastAsia" w:ascii="Calibri" w:hAnsi="Calibri" w:eastAsia="宋体" w:cs="Times New Roman"/>
          <w:szCs w:val="24"/>
        </w:rPr>
        <w:t>注：估值请标注数据来源。</w:t>
      </w:r>
    </w:p>
    <w:sectPr>
      <w:footerReference r:id="rId5" w:type="default"/>
      <w:pgSz w:w="16838" w:h="11906" w:orient="landscape"/>
      <w:pgMar w:top="1800" w:right="1440" w:bottom="17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527600"/>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077633"/>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034209"/>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90784"/>
    <w:multiLevelType w:val="multilevel"/>
    <w:tmpl w:val="6DC90784"/>
    <w:lvl w:ilvl="0" w:tentative="0">
      <w:start w:val="1"/>
      <w:numFmt w:val="decimal"/>
      <w:lvlText w:val="%1."/>
      <w:lvlJc w:val="left"/>
      <w:pPr>
        <w:ind w:left="220" w:hanging="2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NzUxZmZmMzVhNjJiZjc4YWUzMTM3NDIyYTczNTQifQ=="/>
  </w:docVars>
  <w:rsids>
    <w:rsidRoot w:val="002F2139"/>
    <w:rsid w:val="00002D09"/>
    <w:rsid w:val="00006A23"/>
    <w:rsid w:val="00010683"/>
    <w:rsid w:val="00015213"/>
    <w:rsid w:val="00055735"/>
    <w:rsid w:val="00060D71"/>
    <w:rsid w:val="00060DEC"/>
    <w:rsid w:val="000761C4"/>
    <w:rsid w:val="0008315D"/>
    <w:rsid w:val="000D6494"/>
    <w:rsid w:val="000E5830"/>
    <w:rsid w:val="000F787E"/>
    <w:rsid w:val="0011347D"/>
    <w:rsid w:val="00115004"/>
    <w:rsid w:val="00133004"/>
    <w:rsid w:val="00166371"/>
    <w:rsid w:val="0018284D"/>
    <w:rsid w:val="0019267C"/>
    <w:rsid w:val="0019526D"/>
    <w:rsid w:val="00195BD8"/>
    <w:rsid w:val="001A24C8"/>
    <w:rsid w:val="001B45CB"/>
    <w:rsid w:val="001D48E9"/>
    <w:rsid w:val="001F4D47"/>
    <w:rsid w:val="0021429D"/>
    <w:rsid w:val="00220B89"/>
    <w:rsid w:val="00221FFD"/>
    <w:rsid w:val="00234CEF"/>
    <w:rsid w:val="00235C55"/>
    <w:rsid w:val="002371D3"/>
    <w:rsid w:val="00240E29"/>
    <w:rsid w:val="00251843"/>
    <w:rsid w:val="00252C6B"/>
    <w:rsid w:val="00254089"/>
    <w:rsid w:val="00261610"/>
    <w:rsid w:val="00262989"/>
    <w:rsid w:val="00262F34"/>
    <w:rsid w:val="00276B54"/>
    <w:rsid w:val="00283AB2"/>
    <w:rsid w:val="002C4D49"/>
    <w:rsid w:val="002D0484"/>
    <w:rsid w:val="002D4643"/>
    <w:rsid w:val="002E1E14"/>
    <w:rsid w:val="002E4BB7"/>
    <w:rsid w:val="002F2139"/>
    <w:rsid w:val="002F65A9"/>
    <w:rsid w:val="003027EB"/>
    <w:rsid w:val="003102CF"/>
    <w:rsid w:val="00310BD5"/>
    <w:rsid w:val="00311601"/>
    <w:rsid w:val="00317E03"/>
    <w:rsid w:val="003361FB"/>
    <w:rsid w:val="00341010"/>
    <w:rsid w:val="0034186D"/>
    <w:rsid w:val="00341BD9"/>
    <w:rsid w:val="00367824"/>
    <w:rsid w:val="00373C07"/>
    <w:rsid w:val="003745B1"/>
    <w:rsid w:val="00380E09"/>
    <w:rsid w:val="00385E83"/>
    <w:rsid w:val="003B02F3"/>
    <w:rsid w:val="003E2C0F"/>
    <w:rsid w:val="003E58AE"/>
    <w:rsid w:val="00413F20"/>
    <w:rsid w:val="00420034"/>
    <w:rsid w:val="00423758"/>
    <w:rsid w:val="00426EE6"/>
    <w:rsid w:val="00435984"/>
    <w:rsid w:val="00440374"/>
    <w:rsid w:val="00440E7B"/>
    <w:rsid w:val="004441FC"/>
    <w:rsid w:val="00447A89"/>
    <w:rsid w:val="00456B00"/>
    <w:rsid w:val="00461095"/>
    <w:rsid w:val="00463C01"/>
    <w:rsid w:val="004651D0"/>
    <w:rsid w:val="00484163"/>
    <w:rsid w:val="00484864"/>
    <w:rsid w:val="00487CC4"/>
    <w:rsid w:val="004913C1"/>
    <w:rsid w:val="00494830"/>
    <w:rsid w:val="00494F1B"/>
    <w:rsid w:val="004A02B4"/>
    <w:rsid w:val="004B006D"/>
    <w:rsid w:val="004B18F1"/>
    <w:rsid w:val="004B53CD"/>
    <w:rsid w:val="004B6498"/>
    <w:rsid w:val="004E2FD5"/>
    <w:rsid w:val="004F3860"/>
    <w:rsid w:val="00505129"/>
    <w:rsid w:val="0052329E"/>
    <w:rsid w:val="00527947"/>
    <w:rsid w:val="00533AED"/>
    <w:rsid w:val="0053551E"/>
    <w:rsid w:val="0054098E"/>
    <w:rsid w:val="00541EF0"/>
    <w:rsid w:val="0054746A"/>
    <w:rsid w:val="00550D30"/>
    <w:rsid w:val="00554BA9"/>
    <w:rsid w:val="00585504"/>
    <w:rsid w:val="005910F6"/>
    <w:rsid w:val="00592084"/>
    <w:rsid w:val="0059535F"/>
    <w:rsid w:val="005972CC"/>
    <w:rsid w:val="005B4D3E"/>
    <w:rsid w:val="005D62A1"/>
    <w:rsid w:val="005E15FC"/>
    <w:rsid w:val="005E7991"/>
    <w:rsid w:val="005F7A45"/>
    <w:rsid w:val="00602800"/>
    <w:rsid w:val="00612658"/>
    <w:rsid w:val="00612C4F"/>
    <w:rsid w:val="006153AB"/>
    <w:rsid w:val="00622829"/>
    <w:rsid w:val="00662D19"/>
    <w:rsid w:val="006637CD"/>
    <w:rsid w:val="006740B7"/>
    <w:rsid w:val="00683835"/>
    <w:rsid w:val="006A1289"/>
    <w:rsid w:val="006A7B50"/>
    <w:rsid w:val="006C68A9"/>
    <w:rsid w:val="006D64C7"/>
    <w:rsid w:val="006E4A93"/>
    <w:rsid w:val="00705D1F"/>
    <w:rsid w:val="00706293"/>
    <w:rsid w:val="007117F9"/>
    <w:rsid w:val="00711922"/>
    <w:rsid w:val="00713474"/>
    <w:rsid w:val="00716AC0"/>
    <w:rsid w:val="0072182E"/>
    <w:rsid w:val="00723CE9"/>
    <w:rsid w:val="0073464E"/>
    <w:rsid w:val="007346C8"/>
    <w:rsid w:val="007461B0"/>
    <w:rsid w:val="007465B0"/>
    <w:rsid w:val="00746D23"/>
    <w:rsid w:val="00754FC5"/>
    <w:rsid w:val="007550B0"/>
    <w:rsid w:val="0077623D"/>
    <w:rsid w:val="00777EC6"/>
    <w:rsid w:val="00783785"/>
    <w:rsid w:val="007904E0"/>
    <w:rsid w:val="007911A6"/>
    <w:rsid w:val="007961E2"/>
    <w:rsid w:val="00797C36"/>
    <w:rsid w:val="007B76EC"/>
    <w:rsid w:val="007C1D8D"/>
    <w:rsid w:val="007D35B0"/>
    <w:rsid w:val="007D5553"/>
    <w:rsid w:val="007E2D85"/>
    <w:rsid w:val="007E6B88"/>
    <w:rsid w:val="00806272"/>
    <w:rsid w:val="00807390"/>
    <w:rsid w:val="00807C0B"/>
    <w:rsid w:val="00817CA7"/>
    <w:rsid w:val="00824DC0"/>
    <w:rsid w:val="0084105D"/>
    <w:rsid w:val="00844E7C"/>
    <w:rsid w:val="008470E4"/>
    <w:rsid w:val="00851534"/>
    <w:rsid w:val="008577E1"/>
    <w:rsid w:val="008606A6"/>
    <w:rsid w:val="008638CE"/>
    <w:rsid w:val="008718A1"/>
    <w:rsid w:val="00873232"/>
    <w:rsid w:val="00875129"/>
    <w:rsid w:val="00877426"/>
    <w:rsid w:val="008806F2"/>
    <w:rsid w:val="008D19CB"/>
    <w:rsid w:val="008D3815"/>
    <w:rsid w:val="00902073"/>
    <w:rsid w:val="00903B08"/>
    <w:rsid w:val="009051E4"/>
    <w:rsid w:val="009121A5"/>
    <w:rsid w:val="00915386"/>
    <w:rsid w:val="00936250"/>
    <w:rsid w:val="0094299A"/>
    <w:rsid w:val="00950F06"/>
    <w:rsid w:val="00952BCD"/>
    <w:rsid w:val="009614F1"/>
    <w:rsid w:val="009653A1"/>
    <w:rsid w:val="00967346"/>
    <w:rsid w:val="00970557"/>
    <w:rsid w:val="00974375"/>
    <w:rsid w:val="009926DA"/>
    <w:rsid w:val="009973B8"/>
    <w:rsid w:val="009A4C2C"/>
    <w:rsid w:val="009A7964"/>
    <w:rsid w:val="009B23F6"/>
    <w:rsid w:val="009B4843"/>
    <w:rsid w:val="009C65E3"/>
    <w:rsid w:val="009E7C55"/>
    <w:rsid w:val="00A0230E"/>
    <w:rsid w:val="00A30A9D"/>
    <w:rsid w:val="00A447DA"/>
    <w:rsid w:val="00A5068A"/>
    <w:rsid w:val="00A55C14"/>
    <w:rsid w:val="00A71A3A"/>
    <w:rsid w:val="00A771AE"/>
    <w:rsid w:val="00A9332F"/>
    <w:rsid w:val="00A94D2B"/>
    <w:rsid w:val="00A9645E"/>
    <w:rsid w:val="00A96D2B"/>
    <w:rsid w:val="00AA1F89"/>
    <w:rsid w:val="00AC1B98"/>
    <w:rsid w:val="00AE10FA"/>
    <w:rsid w:val="00AE4DDD"/>
    <w:rsid w:val="00AF4BBC"/>
    <w:rsid w:val="00AF7038"/>
    <w:rsid w:val="00B135F3"/>
    <w:rsid w:val="00B47057"/>
    <w:rsid w:val="00B473A9"/>
    <w:rsid w:val="00B52031"/>
    <w:rsid w:val="00B54270"/>
    <w:rsid w:val="00B56A1A"/>
    <w:rsid w:val="00B612CE"/>
    <w:rsid w:val="00B640C2"/>
    <w:rsid w:val="00B66F60"/>
    <w:rsid w:val="00B71DDF"/>
    <w:rsid w:val="00B81F7B"/>
    <w:rsid w:val="00BB0203"/>
    <w:rsid w:val="00BC0780"/>
    <w:rsid w:val="00BC5BC1"/>
    <w:rsid w:val="00BC6D23"/>
    <w:rsid w:val="00C053DE"/>
    <w:rsid w:val="00C10321"/>
    <w:rsid w:val="00C10904"/>
    <w:rsid w:val="00C26ED8"/>
    <w:rsid w:val="00C40E0F"/>
    <w:rsid w:val="00C44CF8"/>
    <w:rsid w:val="00C63718"/>
    <w:rsid w:val="00C705D0"/>
    <w:rsid w:val="00C73313"/>
    <w:rsid w:val="00C74FF2"/>
    <w:rsid w:val="00C77042"/>
    <w:rsid w:val="00C81932"/>
    <w:rsid w:val="00C91043"/>
    <w:rsid w:val="00C97336"/>
    <w:rsid w:val="00CA49F9"/>
    <w:rsid w:val="00CA4D1F"/>
    <w:rsid w:val="00CB75CE"/>
    <w:rsid w:val="00CC7ABC"/>
    <w:rsid w:val="00CE073A"/>
    <w:rsid w:val="00CE6EE7"/>
    <w:rsid w:val="00CF1356"/>
    <w:rsid w:val="00D0303A"/>
    <w:rsid w:val="00D42485"/>
    <w:rsid w:val="00DB04CD"/>
    <w:rsid w:val="00DB51A9"/>
    <w:rsid w:val="00DB54A3"/>
    <w:rsid w:val="00DC1B55"/>
    <w:rsid w:val="00DF5A3F"/>
    <w:rsid w:val="00DF7452"/>
    <w:rsid w:val="00E04017"/>
    <w:rsid w:val="00E068F5"/>
    <w:rsid w:val="00E10810"/>
    <w:rsid w:val="00E1388B"/>
    <w:rsid w:val="00E36CD9"/>
    <w:rsid w:val="00E40F84"/>
    <w:rsid w:val="00E41885"/>
    <w:rsid w:val="00E53E9D"/>
    <w:rsid w:val="00E57E91"/>
    <w:rsid w:val="00E60908"/>
    <w:rsid w:val="00E77EA6"/>
    <w:rsid w:val="00E935E4"/>
    <w:rsid w:val="00E979D8"/>
    <w:rsid w:val="00EA16C0"/>
    <w:rsid w:val="00EB5F30"/>
    <w:rsid w:val="00ED0572"/>
    <w:rsid w:val="00ED6FFC"/>
    <w:rsid w:val="00EE038D"/>
    <w:rsid w:val="00EE1B45"/>
    <w:rsid w:val="00EE5C5C"/>
    <w:rsid w:val="00EF2C2F"/>
    <w:rsid w:val="00EF7F2A"/>
    <w:rsid w:val="00F04A83"/>
    <w:rsid w:val="00F06004"/>
    <w:rsid w:val="00F118FE"/>
    <w:rsid w:val="00F15DC9"/>
    <w:rsid w:val="00F354D5"/>
    <w:rsid w:val="00F42B66"/>
    <w:rsid w:val="00F42CC2"/>
    <w:rsid w:val="00F444D6"/>
    <w:rsid w:val="00F458E3"/>
    <w:rsid w:val="00F81732"/>
    <w:rsid w:val="00F8400F"/>
    <w:rsid w:val="00F95750"/>
    <w:rsid w:val="00FC0B7F"/>
    <w:rsid w:val="00FC5105"/>
    <w:rsid w:val="00FC6E0C"/>
    <w:rsid w:val="00FC7AF5"/>
    <w:rsid w:val="00FD1B20"/>
    <w:rsid w:val="00FD7222"/>
    <w:rsid w:val="00FE6520"/>
    <w:rsid w:val="00FF4243"/>
    <w:rsid w:val="00FF48B7"/>
    <w:rsid w:val="00FF6CDF"/>
    <w:rsid w:val="016B1CA4"/>
    <w:rsid w:val="018425E2"/>
    <w:rsid w:val="01F217B3"/>
    <w:rsid w:val="020E02AA"/>
    <w:rsid w:val="027A1446"/>
    <w:rsid w:val="02BE247E"/>
    <w:rsid w:val="03A41CD7"/>
    <w:rsid w:val="03F826C7"/>
    <w:rsid w:val="049D6ACC"/>
    <w:rsid w:val="057330E6"/>
    <w:rsid w:val="05B768DD"/>
    <w:rsid w:val="05B9052D"/>
    <w:rsid w:val="0671705A"/>
    <w:rsid w:val="067544DC"/>
    <w:rsid w:val="07CC41E1"/>
    <w:rsid w:val="0A2E2EBC"/>
    <w:rsid w:val="0A8B3482"/>
    <w:rsid w:val="0ACB2722"/>
    <w:rsid w:val="0B680A2B"/>
    <w:rsid w:val="0BE46ECE"/>
    <w:rsid w:val="0BEA6B6E"/>
    <w:rsid w:val="0D903663"/>
    <w:rsid w:val="0DC77C5A"/>
    <w:rsid w:val="0DD050C1"/>
    <w:rsid w:val="0DE4663E"/>
    <w:rsid w:val="0F182E66"/>
    <w:rsid w:val="0F325B8C"/>
    <w:rsid w:val="10B52337"/>
    <w:rsid w:val="122E5DFF"/>
    <w:rsid w:val="12582E7C"/>
    <w:rsid w:val="128B640D"/>
    <w:rsid w:val="12947449"/>
    <w:rsid w:val="132A2F94"/>
    <w:rsid w:val="133B034B"/>
    <w:rsid w:val="13645ADA"/>
    <w:rsid w:val="13A7135E"/>
    <w:rsid w:val="140A3B37"/>
    <w:rsid w:val="141259D8"/>
    <w:rsid w:val="14674247"/>
    <w:rsid w:val="148E3FCC"/>
    <w:rsid w:val="14F96C73"/>
    <w:rsid w:val="15B06269"/>
    <w:rsid w:val="15BA6575"/>
    <w:rsid w:val="15D60C87"/>
    <w:rsid w:val="16BB714F"/>
    <w:rsid w:val="16E53361"/>
    <w:rsid w:val="16F5338F"/>
    <w:rsid w:val="17473E6B"/>
    <w:rsid w:val="17E07B9B"/>
    <w:rsid w:val="18297794"/>
    <w:rsid w:val="18D646B1"/>
    <w:rsid w:val="1B2B0CE1"/>
    <w:rsid w:val="1B5776CB"/>
    <w:rsid w:val="1C3C2B70"/>
    <w:rsid w:val="1C6C3060"/>
    <w:rsid w:val="1D9062E6"/>
    <w:rsid w:val="1F1B441A"/>
    <w:rsid w:val="1F4A5268"/>
    <w:rsid w:val="1F530794"/>
    <w:rsid w:val="20212991"/>
    <w:rsid w:val="2041670A"/>
    <w:rsid w:val="2053143B"/>
    <w:rsid w:val="20F16975"/>
    <w:rsid w:val="215A25C3"/>
    <w:rsid w:val="21795E97"/>
    <w:rsid w:val="21BE2CFB"/>
    <w:rsid w:val="220C1F01"/>
    <w:rsid w:val="223A4838"/>
    <w:rsid w:val="22513B6F"/>
    <w:rsid w:val="22631AF5"/>
    <w:rsid w:val="228133C5"/>
    <w:rsid w:val="22995C45"/>
    <w:rsid w:val="22AA0009"/>
    <w:rsid w:val="24766749"/>
    <w:rsid w:val="25E219D5"/>
    <w:rsid w:val="26A90507"/>
    <w:rsid w:val="27374C7D"/>
    <w:rsid w:val="279B2C88"/>
    <w:rsid w:val="27DC037F"/>
    <w:rsid w:val="282E45BA"/>
    <w:rsid w:val="283C7F3F"/>
    <w:rsid w:val="284A4D73"/>
    <w:rsid w:val="291C47AB"/>
    <w:rsid w:val="29C94933"/>
    <w:rsid w:val="29F25B5F"/>
    <w:rsid w:val="2A3B7A7A"/>
    <w:rsid w:val="2A9C5BA4"/>
    <w:rsid w:val="2AE72111"/>
    <w:rsid w:val="2C354361"/>
    <w:rsid w:val="2D107B1D"/>
    <w:rsid w:val="2D4349FC"/>
    <w:rsid w:val="2DBF2653"/>
    <w:rsid w:val="2E2570AE"/>
    <w:rsid w:val="2F146AFD"/>
    <w:rsid w:val="2F676AFF"/>
    <w:rsid w:val="30BE0205"/>
    <w:rsid w:val="311A046D"/>
    <w:rsid w:val="319B38BC"/>
    <w:rsid w:val="325958E0"/>
    <w:rsid w:val="32B1069F"/>
    <w:rsid w:val="32E0684A"/>
    <w:rsid w:val="33596D28"/>
    <w:rsid w:val="33E6622B"/>
    <w:rsid w:val="346A286F"/>
    <w:rsid w:val="358379FF"/>
    <w:rsid w:val="35905D94"/>
    <w:rsid w:val="35ED7200"/>
    <w:rsid w:val="368058D5"/>
    <w:rsid w:val="371B56C8"/>
    <w:rsid w:val="37BE35FD"/>
    <w:rsid w:val="38237904"/>
    <w:rsid w:val="38F1355F"/>
    <w:rsid w:val="38FE2E5D"/>
    <w:rsid w:val="392A34F7"/>
    <w:rsid w:val="39343364"/>
    <w:rsid w:val="398E6FFF"/>
    <w:rsid w:val="39E94E1D"/>
    <w:rsid w:val="3AD4706E"/>
    <w:rsid w:val="3AE20175"/>
    <w:rsid w:val="3B8C756F"/>
    <w:rsid w:val="3CB87039"/>
    <w:rsid w:val="3CE60F03"/>
    <w:rsid w:val="3D8B21D4"/>
    <w:rsid w:val="3DD40F99"/>
    <w:rsid w:val="3E2546B6"/>
    <w:rsid w:val="3E6D527B"/>
    <w:rsid w:val="3FBE6794"/>
    <w:rsid w:val="40996605"/>
    <w:rsid w:val="40AB3370"/>
    <w:rsid w:val="411A1B95"/>
    <w:rsid w:val="41A87FD2"/>
    <w:rsid w:val="41B548E1"/>
    <w:rsid w:val="42BE3C40"/>
    <w:rsid w:val="44C335AB"/>
    <w:rsid w:val="44D3664A"/>
    <w:rsid w:val="450A60D4"/>
    <w:rsid w:val="457C2402"/>
    <w:rsid w:val="45CB6069"/>
    <w:rsid w:val="47694C08"/>
    <w:rsid w:val="47D16D4E"/>
    <w:rsid w:val="48744278"/>
    <w:rsid w:val="49EE6B1C"/>
    <w:rsid w:val="4A7D6E53"/>
    <w:rsid w:val="4AFC655F"/>
    <w:rsid w:val="4B1B446B"/>
    <w:rsid w:val="4B6C2A28"/>
    <w:rsid w:val="4BE156B5"/>
    <w:rsid w:val="4BF54CBC"/>
    <w:rsid w:val="4C9857D9"/>
    <w:rsid w:val="4D0D7D1D"/>
    <w:rsid w:val="4D42390C"/>
    <w:rsid w:val="4DFF1B48"/>
    <w:rsid w:val="4E0252CE"/>
    <w:rsid w:val="4E161464"/>
    <w:rsid w:val="4EA60265"/>
    <w:rsid w:val="4EB74D00"/>
    <w:rsid w:val="4EF47AF9"/>
    <w:rsid w:val="4F3C2A97"/>
    <w:rsid w:val="4F9D5D96"/>
    <w:rsid w:val="4FA64C4B"/>
    <w:rsid w:val="4FAB1FCD"/>
    <w:rsid w:val="509642A1"/>
    <w:rsid w:val="50FA6453"/>
    <w:rsid w:val="514A2139"/>
    <w:rsid w:val="51A91D15"/>
    <w:rsid w:val="521F766C"/>
    <w:rsid w:val="527C6D63"/>
    <w:rsid w:val="543642A3"/>
    <w:rsid w:val="54714874"/>
    <w:rsid w:val="54BA798C"/>
    <w:rsid w:val="552C4101"/>
    <w:rsid w:val="566F51B3"/>
    <w:rsid w:val="56BA4549"/>
    <w:rsid w:val="570A155D"/>
    <w:rsid w:val="572B3E49"/>
    <w:rsid w:val="592A2445"/>
    <w:rsid w:val="593001D6"/>
    <w:rsid w:val="59367040"/>
    <w:rsid w:val="59F52C70"/>
    <w:rsid w:val="5A0A1E3C"/>
    <w:rsid w:val="5AC15F66"/>
    <w:rsid w:val="5B310A8C"/>
    <w:rsid w:val="5C860495"/>
    <w:rsid w:val="5CB5471F"/>
    <w:rsid w:val="5CC44C44"/>
    <w:rsid w:val="5DAD50AA"/>
    <w:rsid w:val="5F1419AB"/>
    <w:rsid w:val="60437128"/>
    <w:rsid w:val="610D059B"/>
    <w:rsid w:val="613055BA"/>
    <w:rsid w:val="61C37700"/>
    <w:rsid w:val="62C0797A"/>
    <w:rsid w:val="631E4808"/>
    <w:rsid w:val="639E23DD"/>
    <w:rsid w:val="647D29FB"/>
    <w:rsid w:val="654E3963"/>
    <w:rsid w:val="66E460B7"/>
    <w:rsid w:val="66F34A1B"/>
    <w:rsid w:val="67620B2B"/>
    <w:rsid w:val="67A35837"/>
    <w:rsid w:val="68363730"/>
    <w:rsid w:val="688D2E59"/>
    <w:rsid w:val="692A3050"/>
    <w:rsid w:val="69B948C8"/>
    <w:rsid w:val="6A0B3BD1"/>
    <w:rsid w:val="6A7B2B14"/>
    <w:rsid w:val="6AB347CE"/>
    <w:rsid w:val="6AC54CCA"/>
    <w:rsid w:val="6B0D193D"/>
    <w:rsid w:val="6B9F008F"/>
    <w:rsid w:val="6C254F65"/>
    <w:rsid w:val="6D8512C2"/>
    <w:rsid w:val="6D923F6E"/>
    <w:rsid w:val="6E377139"/>
    <w:rsid w:val="6E6405C1"/>
    <w:rsid w:val="6FAC6887"/>
    <w:rsid w:val="6FB03301"/>
    <w:rsid w:val="6FC76FA5"/>
    <w:rsid w:val="70777E3C"/>
    <w:rsid w:val="70AD4F2F"/>
    <w:rsid w:val="71212DFC"/>
    <w:rsid w:val="71DE0148"/>
    <w:rsid w:val="7269493F"/>
    <w:rsid w:val="72A57DCD"/>
    <w:rsid w:val="73B2330F"/>
    <w:rsid w:val="73F95484"/>
    <w:rsid w:val="74353EB4"/>
    <w:rsid w:val="74B54916"/>
    <w:rsid w:val="75371D1E"/>
    <w:rsid w:val="75897442"/>
    <w:rsid w:val="76920397"/>
    <w:rsid w:val="77426B23"/>
    <w:rsid w:val="77E3726D"/>
    <w:rsid w:val="791A5BDE"/>
    <w:rsid w:val="7923202E"/>
    <w:rsid w:val="79605D81"/>
    <w:rsid w:val="7A3C5A92"/>
    <w:rsid w:val="7A9121A0"/>
    <w:rsid w:val="7ACB08FE"/>
    <w:rsid w:val="7B4505C0"/>
    <w:rsid w:val="7C523CC7"/>
    <w:rsid w:val="7CBC51FE"/>
    <w:rsid w:val="7DA85B40"/>
    <w:rsid w:val="7EC800EC"/>
    <w:rsid w:val="7ED13022"/>
    <w:rsid w:val="7F166DC5"/>
    <w:rsid w:val="7F977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autoRedefine/>
    <w:qFormat/>
    <w:uiPriority w:val="20"/>
    <w:rPr>
      <w:i/>
      <w:iCs/>
    </w:rPr>
  </w:style>
  <w:style w:type="character" w:customStyle="1" w:styleId="11">
    <w:name w:val="批注框文本 字符"/>
    <w:basedOn w:val="9"/>
    <w:link w:val="3"/>
    <w:semiHidden/>
    <w:qFormat/>
    <w:uiPriority w:val="99"/>
    <w:rPr>
      <w:sz w:val="18"/>
      <w:szCs w:val="18"/>
    </w:rPr>
  </w:style>
  <w:style w:type="character" w:customStyle="1" w:styleId="12">
    <w:name w:val="NormalCharacter"/>
    <w:autoRedefine/>
    <w:qFormat/>
    <w:uiPriority w:val="0"/>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styleId="15">
    <w:name w:val="List Paragraph"/>
    <w:basedOn w:val="1"/>
    <w:link w:val="16"/>
    <w:qFormat/>
    <w:uiPriority w:val="34"/>
    <w:pPr>
      <w:ind w:firstLine="420" w:firstLineChars="200"/>
    </w:pPr>
  </w:style>
  <w:style w:type="character" w:customStyle="1" w:styleId="16">
    <w:name w:val="列表段落 字符"/>
    <w:link w:val="15"/>
    <w:autoRedefine/>
    <w:qFormat/>
    <w:locked/>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95C9-6BC0-4E35-BDE7-CFC8EC857831}">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9</Pages>
  <Words>637</Words>
  <Characters>3637</Characters>
  <Lines>30</Lines>
  <Paragraphs>8</Paragraphs>
  <TotalTime>82</TotalTime>
  <ScaleCrop>false</ScaleCrop>
  <LinksUpToDate>false</LinksUpToDate>
  <CharactersWithSpaces>4266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2024-03-19T01:19:00Z</dcterms:created>
  <dc:creator>朱霁</dc:creator>
  <cp:lastModifiedBy>露露</cp:lastModifiedBy>
  <cp:lastPrinted>2024-03-06T00:52:00Z</cp:lastPrinted>
  <dcterms:modified xsi:type="dcterms:W3CDTF">2024-04-09T03:23:48Z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68F1505BE07549EAB824D1BC22038EDB</vt:lpwstr>
  </property>
</Properties>
</file>